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4B0983"/>
          <w:sz w:val="28"/>
        </w:rPr>
        <w:t>PURPLEWASP</w:t>
      </w:r>
    </w:p>
    <w:p>
      <w:pPr>
        <w:pStyle w:val="Title"/>
        <w:jc w:val="center"/>
      </w:pPr>
      <w:r>
        <w:t>CIS Controls v8.1 First-Time Implementation Handbook</w:t>
      </w:r>
    </w:p>
    <w:p>
      <w:pPr>
        <w:jc w:val="center"/>
      </w:pPr>
      <w:r>
        <w:rPr>
          <w:color w:val="666666"/>
          <w:sz w:val="26"/>
        </w:rPr>
        <w:t>A practical guide to Implementation Groups, Safeguards, shared Controls, evidence and continual improvement</w:t>
      </w:r>
    </w:p>
    <w:p/>
    <w:tbl>
      <w:tblPr>
        <w:tblW w:type="auto" w:w="0"/>
        <w:jc w:val="center"/>
        <w:tblLayout w:type="autofit"/>
        <w:tblLook w:firstColumn="1" w:firstRow="1" w:lastColumn="0" w:lastRow="0" w:noHBand="0" w:noVBand="1" w:val="04A0"/>
      </w:tblPr>
      <w:tblGrid>
        <w:gridCol w:w="4939"/>
        <w:gridCol w:w="4939"/>
      </w:tblGrid>
      <w:tr>
        <w:tc>
          <w:tcPr>
            <w:tcW w:type="dxa" w:w="4939"/>
            <w:shd w:fill="F3EDF7"/>
            <w:tcMar>
              <w:top w:w="80" w:type="dxa"/>
              <w:start w:w="100" w:type="dxa"/>
              <w:bottom w:w="80" w:type="dxa"/>
              <w:end w:w="100" w:type="dxa"/>
            </w:tcMar>
          </w:tcPr>
          <w:p>
            <w:r>
              <w:rPr>
                <w:b/>
              </w:rPr>
              <w:t>Audience</w:t>
            </w:r>
          </w:p>
        </w:tc>
        <w:tc>
          <w:tcPr>
            <w:tcW w:type="dxa" w:w="4939"/>
            <w:tcMar>
              <w:top w:w="80" w:type="dxa"/>
              <w:start w:w="100" w:type="dxa"/>
              <w:bottom w:w="80" w:type="dxa"/>
              <w:end w:w="100" w:type="dxa"/>
            </w:tcMar>
          </w:tcPr>
          <w:p>
            <w:r>
              <w:t>Organisations adopting CIS Controls v8.1 for the first time; security, IT, risk, compliance and executive teams</w:t>
            </w:r>
          </w:p>
        </w:tc>
      </w:tr>
      <w:tr>
        <w:tc>
          <w:tcPr>
            <w:tcW w:type="dxa" w:w="4939"/>
            <w:shd w:fill="F3EDF7"/>
            <w:tcMar>
              <w:top w:w="80" w:type="dxa"/>
              <w:start w:w="100" w:type="dxa"/>
              <w:bottom w:w="80" w:type="dxa"/>
              <w:end w:w="100" w:type="dxa"/>
            </w:tcMar>
          </w:tcPr>
          <w:p>
            <w:r>
              <w:rPr>
                <w:b/>
              </w:rPr>
              <w:t>Baseline date</w:t>
            </w:r>
          </w:p>
        </w:tc>
        <w:tc>
          <w:tcPr>
            <w:tcW w:type="dxa" w:w="4939"/>
            <w:tcMar>
              <w:top w:w="80" w:type="dxa"/>
              <w:start w:w="100" w:type="dxa"/>
              <w:bottom w:w="80" w:type="dxa"/>
              <w:end w:w="100" w:type="dxa"/>
            </w:tcMar>
          </w:tcPr>
          <w:p>
            <w:r>
              <w:t>19 September 2026</w:t>
            </w:r>
          </w:p>
        </w:tc>
      </w:tr>
      <w:tr>
        <w:tc>
          <w:tcPr>
            <w:tcW w:type="dxa" w:w="4939"/>
            <w:shd w:fill="F3EDF7"/>
            <w:tcMar>
              <w:top w:w="80" w:type="dxa"/>
              <w:start w:w="100" w:type="dxa"/>
              <w:bottom w:w="80" w:type="dxa"/>
              <w:end w:w="100" w:type="dxa"/>
            </w:tcMar>
          </w:tcPr>
          <w:p>
            <w:r>
              <w:rPr>
                <w:b/>
              </w:rPr>
              <w:t>Status</w:t>
            </w:r>
          </w:p>
        </w:tc>
        <w:tc>
          <w:tcPr>
            <w:tcW w:type="dxa" w:w="4939"/>
            <w:tcMar>
              <w:top w:w="80" w:type="dxa"/>
              <w:start w:w="100" w:type="dxa"/>
              <w:bottom w:w="80" w:type="dxa"/>
              <w:end w:w="100" w:type="dxa"/>
            </w:tcMar>
          </w:tcPr>
          <w:p>
            <w:r>
              <w:t>Current documentation baseline</w:t>
            </w:r>
          </w:p>
        </w:tc>
      </w:tr>
      <w:tr>
        <w:tc>
          <w:tcPr>
            <w:tcW w:type="dxa" w:w="4939"/>
            <w:shd w:fill="F3EDF7"/>
            <w:tcMar>
              <w:top w:w="80" w:type="dxa"/>
              <w:start w:w="100" w:type="dxa"/>
              <w:bottom w:w="80" w:type="dxa"/>
              <w:end w:w="100" w:type="dxa"/>
            </w:tcMar>
          </w:tcPr>
          <w:p>
            <w:r>
              <w:rPr>
                <w:b/>
              </w:rPr>
              <w:t>Product scope</w:t>
            </w:r>
          </w:p>
        </w:tc>
        <w:tc>
          <w:tcPr>
            <w:tcW w:type="dxa" w:w="4939"/>
            <w:tcMar>
              <w:top w:w="80" w:type="dxa"/>
              <w:start w:w="100" w:type="dxa"/>
              <w:bottom w:w="80" w:type="dxa"/>
              <w:end w:w="100" w:type="dxa"/>
            </w:tcMar>
          </w:tcPr>
          <w:p>
            <w:r>
              <w:t>PurpleWASP compliance and shared Control Management architecture</w:t>
            </w:r>
          </w:p>
        </w:tc>
      </w:tr>
    </w:tbl>
    <w:p/>
    <w:p>
      <w:pPr>
        <w:pStyle w:val="PWSmall"/>
        <w:jc w:val="center"/>
      </w:pPr>
      <w:r>
        <w:t>Framework implementation decisions should always be validated against the current authoritative framework material. PurpleWASP is not the publisher of the CIS Controls and does not replace CIS guidance, licensing terms or independent assurance.</w:t>
      </w:r>
    </w:p>
    <w:p>
      <w:r>
        <w:br w:type="page"/>
      </w:r>
    </w:p>
    <w:p>
      <w:pPr>
        <w:pStyle w:val="Heading1"/>
      </w:pPr>
      <w:r>
        <w:t>Document map</w:t>
      </w:r>
    </w:p>
    <w:p>
      <w:pPr/>
      <w:r>
        <w:t>1. What CIS Controls v8.1 is and is not</w:t>
      </w:r>
    </w:p>
    <w:p>
      <w:pPr/>
      <w:r>
        <w:t>2. Understand Controls, Safeguards and Implementation Groups</w:t>
      </w:r>
    </w:p>
    <w:p>
      <w:pPr/>
      <w:r>
        <w:t>3. Select an Implementation Group</w:t>
      </w:r>
    </w:p>
    <w:p>
      <w:pPr/>
      <w:r>
        <w:t>4. Define programme scope and accountability</w:t>
      </w:r>
    </w:p>
    <w:p>
      <w:pPr/>
      <w:r>
        <w:t>5. Build the implementation team</w:t>
      </w:r>
    </w:p>
    <w:p>
      <w:pPr/>
      <w:r>
        <w:t>6. Establish the current Control baseline</w:t>
      </w:r>
    </w:p>
    <w:p>
      <w:pPr/>
      <w:r>
        <w:t>7. Work through targeted Safeguards</w:t>
      </w:r>
    </w:p>
    <w:p>
      <w:pPr/>
      <w:r>
        <w:t>8. Use PurpleWASP coverage and implementation states correctly</w:t>
      </w:r>
    </w:p>
    <w:p>
      <w:pPr/>
      <w:r>
        <w:t>9. Connect evidence, documents, tests, Risks and issues</w:t>
      </w:r>
    </w:p>
    <w:p>
      <w:pPr/>
      <w:r>
        <w:t>10. Manage applicability and additional targets</w:t>
      </w:r>
    </w:p>
    <w:p>
      <w:pPr/>
      <w:r>
        <w:t>11. Use Drivers / Improve Score</w:t>
      </w:r>
    </w:p>
    <w:p>
      <w:pPr/>
      <w:r>
        <w:t>12. Use PurpleWASP step by step</w:t>
      </w:r>
    </w:p>
    <w:p>
      <w:pPr/>
      <w:r>
        <w:t>13. Example 90-day implementation roadmap</w:t>
      </w:r>
    </w:p>
    <w:p>
      <w:pPr/>
      <w:r>
        <w:t>14. Operating cadence</w:t>
      </w:r>
    </w:p>
    <w:p>
      <w:pPr/>
      <w:r>
        <w:t>15. Common mistakes</w:t>
      </w:r>
    </w:p>
    <w:p>
      <w:pPr/>
      <w:r>
        <w:t>16. Master checklist</w:t>
      </w:r>
    </w:p>
    <w:p>
      <w:pPr/>
      <w:r>
        <w:t>17. Content/licensing boundary</w:t>
      </w:r>
    </w:p>
    <w:p>
      <w:pPr>
        <w:pStyle w:val="Heading1"/>
      </w:pPr>
      <w:r>
        <w:t>18. References and source baseline</w:t>
      </w:r>
    </w:p>
    <w:p>
      <w:r>
        <w:br w:type="page"/>
      </w:r>
    </w:p>
    <w:p>
      <w:pPr>
        <w:pStyle w:val="Heading1"/>
      </w:pPr>
      <w:r>
        <w:t>1. What CIS Controls v8.1 is and is not</w:t>
      </w:r>
    </w:p>
    <w:p>
      <w:pPr/>
      <w:r>
        <w:t>CIS Controls v8.1 is a prioritised cybersecurity best-practice framework published by the Center for Internet Security (CIS). The current v8.1 release retains 18 Controls and 153 Safeguards and updates alignment, asset classes and supporting definitions while preserving continuity with v8. PurpleWASP uses the framework as an implementation and assurance layer over shared organisation Controls rather than creating a second set of cybersecurity implementations.</w:t>
      </w:r>
    </w:p>
    <w:tbl>
      <w:tblPr>
        <w:tblW w:type="auto" w:w="0"/>
        <w:tblLook w:firstColumn="1" w:firstRow="1" w:lastColumn="0" w:lastRow="0" w:noHBand="0" w:noVBand="1" w:val="04A0"/>
      </w:tblPr>
      <w:tblGrid>
        <w:gridCol w:w="9878"/>
      </w:tblGrid>
      <w:tr>
        <w:tc>
          <w:tcPr>
            <w:tcW w:type="dxa" w:w="9878"/>
            <w:shd w:fill="F3EDF7"/>
          </w:tcPr>
          <w:p>
            <w:r>
              <w:rPr>
                <w:b/>
              </w:rPr>
              <w:t>Not an official CIS score</w:t>
              <w:br/>
            </w:r>
            <w:r>
              <w:t>PurpleWASP Assessment Coverage, Implementation Progress and Readiness percentages are internal management indicators. They are not CIS certification, conformance or an official CIS Controls Assessment Specification result.</w:t>
            </w:r>
          </w:p>
        </w:tc>
      </w:tr>
    </w:tbl>
    <w:p/>
    <w:p>
      <w:pPr>
        <w:pStyle w:val="Heading1"/>
      </w:pPr>
      <w:r>
        <w:t>2. Understand Controls, Safeguards and Implementation Groups</w:t>
      </w:r>
    </w:p>
    <w:p>
      <w:pPr/>
      <w:r>
        <w:t>The framework is organised into 18 Controls containing 153 Safeguards. Implementation Groups (IGs) provide a cumulative prioritisation model so an organisation can begin with a defensible baseline and expand as risk, complexity and capability increase.</w:t>
      </w:r>
    </w:p>
    <w:tbl>
      <w:tblPr>
        <w:tblStyle w:val="TableGrid"/>
        <w:tblW w:type="auto" w:w="0"/>
        <w:tblLook w:firstColumn="1" w:firstRow="1" w:lastColumn="0" w:lastRow="0" w:noHBand="0" w:noVBand="1" w:val="04A0"/>
      </w:tblPr>
      <w:tblGrid>
        <w:gridCol w:w="3293"/>
        <w:gridCol w:w="3293"/>
        <w:gridCol w:w="3293"/>
      </w:tblGrid>
      <w:tr>
        <w:trPr>
          <w:tblHeader w:val="true"/>
        </w:trPr>
        <w:tc>
          <w:tcPr>
            <w:tcW w:type="dxa" w:w="2016"/>
            <w:shd w:fill="F3EDF7"/>
            <w:vAlign w:val="center"/>
          </w:tcPr>
          <w:p>
            <w:r>
              <w:rPr>
                <w:b/>
              </w:rPr>
              <w:t>Implementation Group</w:t>
            </w:r>
          </w:p>
        </w:tc>
        <w:tc>
          <w:tcPr>
            <w:tcW w:type="dxa" w:w="2016"/>
            <w:shd w:fill="F3EDF7"/>
            <w:vAlign w:val="center"/>
          </w:tcPr>
          <w:p>
            <w:r>
              <w:rPr>
                <w:b/>
              </w:rPr>
              <w:t>Cumulative Safeguards</w:t>
            </w:r>
          </w:p>
        </w:tc>
        <w:tc>
          <w:tcPr>
            <w:tcW w:type="dxa" w:w="6192"/>
            <w:shd w:fill="F3EDF7"/>
            <w:vAlign w:val="center"/>
          </w:tcPr>
          <w:p>
            <w:r>
              <w:rPr>
                <w:b/>
              </w:rPr>
              <w:t>How to use it in PurpleWASP</w:t>
            </w:r>
          </w:p>
        </w:tc>
      </w:tr>
      <w:tr>
        <w:tc>
          <w:tcPr>
            <w:tcW w:type="dxa" w:w="2016"/>
            <w:vAlign w:val="top"/>
          </w:tcPr>
          <w:p>
            <w:r>
              <w:t>IG1</w:t>
            </w:r>
          </w:p>
        </w:tc>
        <w:tc>
          <w:tcPr>
            <w:tcW w:type="dxa" w:w="2016"/>
            <w:vAlign w:val="top"/>
          </w:tcPr>
          <w:p>
            <w:r>
              <w:t>56</w:t>
            </w:r>
          </w:p>
        </w:tc>
        <w:tc>
          <w:tcPr>
            <w:tcW w:type="dxa" w:w="6192"/>
            <w:vAlign w:val="top"/>
          </w:tcPr>
          <w:p>
            <w:r>
              <w:t>Foundational target. A practical starting point for essential cyber hygiene and initial programme rollout.</w:t>
            </w:r>
          </w:p>
        </w:tc>
      </w:tr>
      <w:tr>
        <w:tc>
          <w:tcPr>
            <w:tcW w:type="dxa" w:w="2016"/>
            <w:vAlign w:val="top"/>
          </w:tcPr>
          <w:p>
            <w:r>
              <w:t>IG2</w:t>
            </w:r>
          </w:p>
        </w:tc>
        <w:tc>
          <w:tcPr>
            <w:tcW w:type="dxa" w:w="2016"/>
            <w:vAlign w:val="top"/>
          </w:tcPr>
          <w:p>
            <w:r>
              <w:t>130</w:t>
            </w:r>
          </w:p>
        </w:tc>
        <w:tc>
          <w:tcPr>
            <w:tcW w:type="dxa" w:w="6192"/>
            <w:vAlign w:val="top"/>
          </w:tcPr>
          <w:p>
            <w:r>
              <w:t>IG1 plus 74 additional Safeguards for organisations with greater operational complexity, sensitive information or dedicated IT/security responsibility.</w:t>
            </w:r>
          </w:p>
        </w:tc>
      </w:tr>
      <w:tr>
        <w:tc>
          <w:tcPr>
            <w:tcW w:type="dxa" w:w="2016"/>
            <w:vAlign w:val="top"/>
          </w:tcPr>
          <w:p>
            <w:r>
              <w:t>IG3</w:t>
            </w:r>
          </w:p>
        </w:tc>
        <w:tc>
          <w:tcPr>
            <w:tcW w:type="dxa" w:w="2016"/>
            <w:vAlign w:val="top"/>
          </w:tcPr>
          <w:p>
            <w:r>
              <w:t>153</w:t>
            </w:r>
          </w:p>
        </w:tc>
        <w:tc>
          <w:tcPr>
            <w:tcW w:type="dxa" w:w="6192"/>
            <w:vAlign w:val="top"/>
          </w:tcPr>
          <w:p>
            <w:r>
              <w:t>The complete Safeguard set: IG1 + IG2 + 23 additional Safeguards for higher-risk, more complex or more security-capable environments.</w:t>
            </w:r>
          </w:p>
        </w:tc>
      </w:tr>
    </w:tbl>
    <w:p/>
    <w:p>
      <w:pPr/>
      <w:r>
        <w:t>PurpleWASP stores the selected baseline IG at programme level. Higher-IG Safeguards can be added explicitly where the organisation wants a narrower extension without changing the whole baseline.</w:t>
      </w:r>
    </w:p>
    <w:p>
      <w:pPr>
        <w:pStyle w:val="Heading1"/>
      </w:pPr>
      <w:r>
        <w:t>3. Select an Implementation Group</w:t>
      </w:r>
    </w:p>
    <w:p>
      <w:pPr/>
      <w:r>
        <w:t>Choose the baseline from the organisation’s actual risk, data sensitivity, critical services, technical complexity, threat exposure and resources. Do not choose a higher IG simply to produce a more impressive dashboard, and do not choose a lower IG merely to reduce the work.</w:t>
      </w:r>
    </w:p>
    <w:p>
      <w:pPr>
        <w:pStyle w:val="ListBullet"/>
      </w:pPr>
      <w:r>
        <w:t>Start with IG1 when establishing the programme unless the organisation already has a justified reason to target a broader set.</w:t>
      </w:r>
    </w:p>
    <w:p>
      <w:pPr>
        <w:pStyle w:val="ListBullet"/>
      </w:pPr>
      <w:r>
        <w:t>Use IG2 when the organisation has greater operational complexity, dedicated technology/security responsibilities or more sensitive information and dependencies.</w:t>
      </w:r>
    </w:p>
    <w:p>
      <w:pPr>
        <w:pStyle w:val="ListBullet"/>
      </w:pPr>
      <w:r>
        <w:t>Use IG3 when targeted threats, significant sensitive-data/availability requirements or sophisticated security operations justify the complete set.</w:t>
      </w:r>
    </w:p>
    <w:p>
      <w:pPr>
        <w:pStyle w:val="ListBullet"/>
      </w:pPr>
      <w:r>
        <w:t>Record the rationale. The choice should remain explainable when leadership, an assessor, customer or auditor asks why that target was selected.</w:t>
      </w:r>
    </w:p>
    <w:p>
      <w:pPr>
        <w:pStyle w:val="ListBullet"/>
      </w:pPr>
      <w:r>
        <w:t>Revisit the IG when major business, technology, threat or regulatory conditions change.</w:t>
      </w:r>
    </w:p>
    <w:p>
      <w:pPr>
        <w:pStyle w:val="Heading1"/>
      </w:pPr>
      <w:r>
        <w:t>4. Define programme scope and accountability</w:t>
      </w:r>
    </w:p>
    <w:p>
      <w:pPr/>
      <w:r>
        <w:t>Set the CIS programme boundary before interpreting Safeguard status. PurpleWASP supports whole-organisation or partial scope and records an accountable user or organisation role/function. A partial scope should be specific enough that implementation, evidence and assurance can be interpreted consistently.</w:t>
      </w:r>
    </w:p>
    <w:p>
      <w:pPr>
        <w:pStyle w:val="ListBullet"/>
      </w:pPr>
      <w:r>
        <w:t>State whether the programme covers the whole organisation or a justified subset.</w:t>
      </w:r>
    </w:p>
    <w:p>
      <w:pPr>
        <w:pStyle w:val="ListBullet"/>
      </w:pPr>
      <w:r>
        <w:t>Describe important business services, environments, legal entities or technology boundaries where needed.</w:t>
      </w:r>
    </w:p>
    <w:p>
      <w:pPr>
        <w:pStyle w:val="ListBullet"/>
      </w:pPr>
      <w:r>
        <w:t>Assign an accountable programme owner rather than leaving responsibility implicit.</w:t>
      </w:r>
    </w:p>
    <w:p>
      <w:pPr>
        <w:pStyle w:val="ListBullet"/>
      </w:pPr>
      <w:r>
        <w:t>Record business context and the IG rationale before confirming the programme.</w:t>
      </w:r>
    </w:p>
    <w:p>
      <w:pPr>
        <w:pStyle w:val="ListBullet"/>
      </w:pPr>
      <w:r>
        <w:t>Treat a confirmed programme as a baseline. PurpleWASP creates a successor draft for later changes rather than silently rewriting history.</w:t>
      </w:r>
    </w:p>
    <w:p>
      <w:pPr>
        <w:pStyle w:val="Heading1"/>
      </w:pPr>
      <w:r>
        <w:t>5. Build the implementation team</w:t>
      </w:r>
    </w:p>
    <w:tbl>
      <w:tblPr>
        <w:tblStyle w:val="TableGrid"/>
        <w:tblW w:type="auto" w:w="0"/>
        <w:tblLook w:firstColumn="1" w:firstRow="1" w:lastColumn="0" w:lastRow="0" w:noHBand="0" w:noVBand="1" w:val="04A0"/>
      </w:tblPr>
      <w:tblGrid>
        <w:gridCol w:w="4939"/>
        <w:gridCol w:w="4939"/>
      </w:tblGrid>
      <w:tr>
        <w:trPr>
          <w:tblHeader w:val="true"/>
        </w:trPr>
        <w:tc>
          <w:tcPr>
            <w:tcW w:type="dxa" w:w="4939"/>
            <w:shd w:fill="F3EDF7"/>
            <w:vAlign w:val="center"/>
          </w:tcPr>
          <w:p>
            <w:r>
              <w:rPr>
                <w:b/>
              </w:rPr>
              <w:t>Role</w:t>
            </w:r>
          </w:p>
        </w:tc>
        <w:tc>
          <w:tcPr>
            <w:tcW w:type="dxa" w:w="4939"/>
            <w:shd w:fill="F3EDF7"/>
            <w:vAlign w:val="center"/>
          </w:tcPr>
          <w:p>
            <w:r>
              <w:rPr>
                <w:b/>
              </w:rPr>
              <w:t>Primary responsibility</w:t>
            </w:r>
          </w:p>
        </w:tc>
      </w:tr>
      <w:tr>
        <w:tc>
          <w:tcPr>
            <w:tcW w:type="dxa" w:w="4939"/>
            <w:vAlign w:val="top"/>
          </w:tcPr>
          <w:p>
            <w:r>
              <w:t>Executive sponsor / risk owner</w:t>
            </w:r>
          </w:p>
        </w:tc>
        <w:tc>
          <w:tcPr>
            <w:tcW w:type="dxa" w:w="4939"/>
            <w:vAlign w:val="top"/>
          </w:tcPr>
          <w:p>
            <w:r>
              <w:t>Sets priorities, accepts material residual risk and ensures resources are available.</w:t>
            </w:r>
          </w:p>
        </w:tc>
      </w:tr>
      <w:tr>
        <w:tc>
          <w:tcPr>
            <w:tcW w:type="dxa" w:w="4939"/>
            <w:vAlign w:val="top"/>
          </w:tcPr>
          <w:p>
            <w:r>
              <w:t>CIS programme lead</w:t>
            </w:r>
          </w:p>
        </w:tc>
        <w:tc>
          <w:tcPr>
            <w:tcW w:type="dxa" w:w="4939"/>
            <w:vAlign w:val="top"/>
          </w:tcPr>
          <w:p>
            <w:r>
              <w:t>Owns scope, IG selection, Safeguard review, improvement queue and reporting cadence.</w:t>
            </w:r>
          </w:p>
        </w:tc>
      </w:tr>
      <w:tr>
        <w:tc>
          <w:tcPr>
            <w:tcW w:type="dxa" w:w="4939"/>
            <w:vAlign w:val="top"/>
          </w:tcPr>
          <w:p>
            <w:r>
              <w:t>IT / platform owners</w:t>
            </w:r>
          </w:p>
        </w:tc>
        <w:tc>
          <w:tcPr>
            <w:tcW w:type="dxa" w:w="4939"/>
            <w:vAlign w:val="top"/>
          </w:tcPr>
          <w:p>
            <w:r>
              <w:t>Implement and operate technical Controls across endpoints, networks, cloud, identity, applications and infrastructure.</w:t>
            </w:r>
          </w:p>
        </w:tc>
      </w:tr>
      <w:tr>
        <w:tc>
          <w:tcPr>
            <w:tcW w:type="dxa" w:w="4939"/>
            <w:vAlign w:val="top"/>
          </w:tcPr>
          <w:p>
            <w:r>
              <w:t>Control owners</w:t>
            </w:r>
          </w:p>
        </w:tc>
        <w:tc>
          <w:tcPr>
            <w:tcW w:type="dxa" w:w="4939"/>
            <w:vAlign w:val="top"/>
          </w:tcPr>
          <w:p>
            <w:r>
              <w:t>Maintain implementation state, evidence, assessments, tests, issues and exceptions in Control Management.</w:t>
            </w:r>
          </w:p>
        </w:tc>
      </w:tr>
      <w:tr>
        <w:tc>
          <w:tcPr>
            <w:tcW w:type="dxa" w:w="4939"/>
            <w:vAlign w:val="top"/>
          </w:tcPr>
          <w:p>
            <w:r>
              <w:t>Risk / compliance</w:t>
            </w:r>
          </w:p>
        </w:tc>
        <w:tc>
          <w:tcPr>
            <w:tcW w:type="dxa" w:w="4939"/>
            <w:vAlign w:val="top"/>
          </w:tcPr>
          <w:p>
            <w:r>
              <w:t>Connect Safeguards to risk context, governance documents, exceptions and external obligations.</w:t>
            </w:r>
          </w:p>
        </w:tc>
      </w:tr>
      <w:tr>
        <w:tc>
          <w:tcPr>
            <w:tcW w:type="dxa" w:w="4939"/>
            <w:vAlign w:val="top"/>
          </w:tcPr>
          <w:p>
            <w:r>
              <w:t>Internal assurance / audit</w:t>
            </w:r>
          </w:p>
        </w:tc>
        <w:tc>
          <w:tcPr>
            <w:tcW w:type="dxa" w:w="4939"/>
            <w:vAlign w:val="top"/>
          </w:tcPr>
          <w:p>
            <w:r>
              <w:t>Challenge evidence quality, test design, currentness and closure of known deficiencies.</w:t>
            </w:r>
          </w:p>
        </w:tc>
      </w:tr>
    </w:tbl>
    <w:p/>
    <w:p>
      <w:pPr>
        <w:pStyle w:val="Heading1"/>
      </w:pPr>
      <w:r>
        <w:t>6. Establish the current Control baseline</w:t>
      </w:r>
    </w:p>
    <w:p>
      <w:pPr/>
      <w:r>
        <w:t>Do not create a separate “CIS implementation” for a safeguard that the organisation already operates. PurpleWASP maps CIS Safeguards to reusable canonical Controls and then inherits or records organisation-level mappings to adopted organisation Controls. Review existing Controls first, then adopt or map only what is actually needed.</w:t>
      </w:r>
    </w:p>
    <w:p>
      <w:pPr>
        <w:pStyle w:val="ListBullet"/>
      </w:pPr>
      <w:r>
        <w:t>Review existing organisation Controls and their global/canonical identity.</w:t>
      </w:r>
    </w:p>
    <w:p>
      <w:pPr>
        <w:pStyle w:val="ListBullet"/>
      </w:pPr>
      <w:r>
        <w:t>Adopt the primary PurpleWASP recommendation when it accurately represents the safeguard implementation you intend to operate.</w:t>
      </w:r>
    </w:p>
    <w:p>
      <w:pPr>
        <w:pStyle w:val="ListBullet"/>
      </w:pPr>
      <w:r>
        <w:t>Use supporting mappings as context; they do not replace the primary implementation relationship.</w:t>
      </w:r>
    </w:p>
    <w:p>
      <w:pPr>
        <w:pStyle w:val="ListBullet"/>
      </w:pPr>
      <w:r>
        <w:t>Create organisation-specific mappings only where the canonical relationship is insufficient for your environment.</w:t>
      </w:r>
    </w:p>
    <w:p>
      <w:pPr>
        <w:pStyle w:val="ListBullet"/>
      </w:pPr>
      <w:r>
        <w:t>Keep one authoritative implementation state in Control Management so ISO 27001, SOC 2, Cyber Essentials, NIST and CIS can reuse the same underlying assurance.</w:t>
      </w:r>
    </w:p>
    <w:p>
      <w:pPr>
        <w:pStyle w:val="Heading1"/>
      </w:pPr>
      <w:r>
        <w:t>7. Work through targeted Safeguards</w:t>
      </w:r>
    </w:p>
    <w:p>
      <w:pPr>
        <w:jc w:val="center"/>
      </w:pPr>
      <w:r>
        <w:rPr>
          <w:b/>
        </w:rPr>
        <w:t>Programme &amp; Scope  →  Targeted Safeguards  →  Organisation Controls  →  Assurance  →  Improvement</w:t>
      </w:r>
    </w:p>
    <w:p/>
    <w:p>
      <w:pPr/>
      <w:r>
        <w:t>Use the Safeguards page to work from the selected IG target. Start with coverage gaps, then progress through implementation, evidence and assurance. PurpleWASP intentionally separates “we have not yet mapped/adopted an organisation Control” from “we assessed an adopted Control and it is not implemented.”</w:t>
      </w:r>
    </w:p>
    <w:p>
      <w:pPr>
        <w:pStyle w:val="ListBullet"/>
      </w:pPr>
      <w:r>
        <w:t>Resolve Coverage required Safeguards by adopting or mapping an appropriate organisation Control.</w:t>
      </w:r>
    </w:p>
    <w:p>
      <w:pPr>
        <w:pStyle w:val="ListBullet"/>
      </w:pPr>
      <w:r>
        <w:t>For assessed Safeguards, update the authoritative organisation Control implementation state rather than editing a duplicate CIS status.</w:t>
      </w:r>
    </w:p>
    <w:p>
      <w:pPr>
        <w:pStyle w:val="ListBullet"/>
      </w:pPr>
      <w:r>
        <w:t>Use the Safeguard workspace to see the primary and supporting PurpleWASP recommendations and the adopted organisation Controls currently providing coverage.</w:t>
      </w:r>
    </w:p>
    <w:p>
      <w:pPr>
        <w:pStyle w:val="ListBullet"/>
      </w:pPr>
      <w:r>
        <w:t>Review the cross-framework panel as reuse context, not as an official CIS-to-third-party crosswalk.</w:t>
      </w:r>
    </w:p>
    <w:p>
      <w:pPr>
        <w:pStyle w:val="ListBullet"/>
      </w:pPr>
      <w:r>
        <w:t>For higher-IG Safeguards outside the baseline, add them only when the organisation intentionally wants them in scope.</w:t>
      </w:r>
    </w:p>
    <w:p>
      <w:pPr>
        <w:pStyle w:val="Heading1"/>
      </w:pPr>
      <w:r>
        <w:t>8. Use PurpleWASP coverage and implementation states correctly</w:t>
      </w:r>
    </w:p>
    <w:tbl>
      <w:tblPr>
        <w:tblStyle w:val="TableGrid"/>
        <w:tblW w:type="auto" w:w="0"/>
        <w:tblLook w:firstColumn="1" w:firstRow="1" w:lastColumn="0" w:lastRow="0" w:noHBand="0" w:noVBand="1" w:val="04A0"/>
      </w:tblPr>
      <w:tblGrid>
        <w:gridCol w:w="4939"/>
        <w:gridCol w:w="4939"/>
      </w:tblGrid>
      <w:tr>
        <w:trPr>
          <w:tblHeader w:val="true"/>
        </w:trPr>
        <w:tc>
          <w:tcPr>
            <w:tcW w:type="dxa" w:w="4939"/>
            <w:shd w:fill="F3EDF7"/>
            <w:vAlign w:val="center"/>
          </w:tcPr>
          <w:p>
            <w:r>
              <w:rPr>
                <w:b/>
              </w:rPr>
              <w:t>PurpleWASP state</w:t>
            </w:r>
          </w:p>
        </w:tc>
        <w:tc>
          <w:tcPr>
            <w:tcW w:type="dxa" w:w="4939"/>
            <w:shd w:fill="F3EDF7"/>
            <w:vAlign w:val="center"/>
          </w:tcPr>
          <w:p>
            <w:r>
              <w:rPr>
                <w:b/>
              </w:rPr>
              <w:t>Meaning</w:t>
            </w:r>
          </w:p>
        </w:tc>
      </w:tr>
      <w:tr>
        <w:tc>
          <w:tcPr>
            <w:tcW w:type="dxa" w:w="4939"/>
            <w:vAlign w:val="top"/>
          </w:tcPr>
          <w:p>
            <w:r>
              <w:t>Coverage required</w:t>
            </w:r>
          </w:p>
        </w:tc>
        <w:tc>
          <w:tcPr>
            <w:tcW w:type="dxa" w:w="4939"/>
            <w:vAlign w:val="top"/>
          </w:tcPr>
          <w:p>
            <w:r>
              <w:t>The Safeguard is targeted, but no applicable organisation Control currently provides effective coverage. This is unknown/uncovered, not automatically a failed implementation.</w:t>
            </w:r>
          </w:p>
        </w:tc>
      </w:tr>
      <w:tr>
        <w:tc>
          <w:tcPr>
            <w:tcW w:type="dxa" w:w="4939"/>
            <w:vAlign w:val="top"/>
          </w:tcPr>
          <w:p>
            <w:r>
              <w:t>Not implemented</w:t>
            </w:r>
          </w:p>
        </w:tc>
        <w:tc>
          <w:tcPr>
            <w:tcW w:type="dxa" w:w="4939"/>
            <w:vAlign w:val="top"/>
          </w:tcPr>
          <w:p>
            <w:r>
              <w:t>An applicable mapped organisation Control exists and its implementation state indicates the requirement is not operating.</w:t>
            </w:r>
          </w:p>
        </w:tc>
      </w:tr>
      <w:tr>
        <w:tc>
          <w:tcPr>
            <w:tcW w:type="dxa" w:w="4939"/>
            <w:vAlign w:val="top"/>
          </w:tcPr>
          <w:p>
            <w:r>
              <w:t>Planned</w:t>
            </w:r>
          </w:p>
        </w:tc>
        <w:tc>
          <w:tcPr>
            <w:tcW w:type="dxa" w:w="4939"/>
            <w:vAlign w:val="top"/>
          </w:tcPr>
          <w:p>
            <w:r>
              <w:t>The mapped Control has agreed work but is not yet operating.</w:t>
            </w:r>
          </w:p>
        </w:tc>
      </w:tr>
      <w:tr>
        <w:tc>
          <w:tcPr>
            <w:tcW w:type="dxa" w:w="4939"/>
            <w:vAlign w:val="top"/>
          </w:tcPr>
          <w:p>
            <w:r>
              <w:t>Partially implemented</w:t>
            </w:r>
          </w:p>
        </w:tc>
        <w:tc>
          <w:tcPr>
            <w:tcW w:type="dxa" w:w="4939"/>
            <w:vAlign w:val="top"/>
          </w:tcPr>
          <w:p>
            <w:r>
              <w:t>The mapped Control is operating only in part of the intended scope or maturity.</w:t>
            </w:r>
          </w:p>
        </w:tc>
      </w:tr>
      <w:tr>
        <w:tc>
          <w:tcPr>
            <w:tcW w:type="dxa" w:w="4939"/>
            <w:vAlign w:val="top"/>
          </w:tcPr>
          <w:p>
            <w:r>
              <w:t>Implemented</w:t>
            </w:r>
          </w:p>
        </w:tc>
        <w:tc>
          <w:tcPr>
            <w:tcW w:type="dxa" w:w="4939"/>
            <w:vAlign w:val="top"/>
          </w:tcPr>
          <w:p>
            <w:r>
              <w:t>The mapped Control implementation state supports a fully implemented conclusion for the Safeguard, subject to the mapped strength and assurance context.</w:t>
            </w:r>
          </w:p>
        </w:tc>
      </w:tr>
      <w:tr>
        <w:tc>
          <w:tcPr>
            <w:tcW w:type="dxa" w:w="4939"/>
            <w:vAlign w:val="top"/>
          </w:tcPr>
          <w:p>
            <w:r>
              <w:t>Not applicable</w:t>
            </w:r>
          </w:p>
        </w:tc>
        <w:tc>
          <w:tcPr>
            <w:tcW w:type="dxa" w:w="4939"/>
            <w:vAlign w:val="top"/>
          </w:tcPr>
          <w:p>
            <w:r>
              <w:t>A framework-specific CIS programme decision with rationale. It does not delete or rewrite the shared organisation Control.</w:t>
            </w:r>
          </w:p>
        </w:tc>
      </w:tr>
    </w:tbl>
    <w:p/>
    <w:tbl>
      <w:tblPr>
        <w:tblW w:type="auto" w:w="0"/>
        <w:tblLook w:firstColumn="1" w:firstRow="1" w:lastColumn="0" w:lastRow="0" w:noHBand="0" w:noVBand="1" w:val="04A0"/>
      </w:tblPr>
      <w:tblGrid>
        <w:gridCol w:w="9878"/>
      </w:tblGrid>
      <w:tr>
        <w:tc>
          <w:tcPr>
            <w:tcW w:type="dxa" w:w="9878"/>
            <w:shd w:fill="F3EDF7"/>
          </w:tcPr>
          <w:p>
            <w:r>
              <w:rPr>
                <w:b/>
              </w:rPr>
              <w:t>Coverage is not implementation</w:t>
              <w:br/>
            </w:r>
            <w:r>
              <w:t>A Safeguard with no adopted/mapped organisation Control should remain Coverage required. Treating every unknown as “Not implemented” would understate assessment uncertainty and distort the improvement queue.</w:t>
            </w:r>
          </w:p>
        </w:tc>
      </w:tr>
    </w:tbl>
    <w:p/>
    <w:p>
      <w:pPr>
        <w:pStyle w:val="Heading1"/>
      </w:pPr>
      <w:r>
        <w:t>9. Connect evidence, documents, tests, Risks and issues</w:t>
      </w:r>
    </w:p>
    <w:p>
      <w:pPr/>
      <w:r>
        <w:t>Once Control coverage exists, strengthen the conclusion with the same assurance records already maintained in PurpleWASP.</w:t>
      </w:r>
    </w:p>
    <w:tbl>
      <w:tblPr>
        <w:tblStyle w:val="TableGrid"/>
        <w:tblW w:type="auto" w:w="0"/>
        <w:tblLook w:firstColumn="1" w:firstRow="1" w:lastColumn="0" w:lastRow="0" w:noHBand="0" w:noVBand="1" w:val="04A0"/>
      </w:tblPr>
      <w:tblGrid>
        <w:gridCol w:w="4939"/>
        <w:gridCol w:w="4939"/>
      </w:tblGrid>
      <w:tr>
        <w:trPr>
          <w:tblHeader w:val="true"/>
        </w:trPr>
        <w:tc>
          <w:tcPr>
            <w:tcW w:type="dxa" w:w="4939"/>
            <w:shd w:fill="F3EDF7"/>
            <w:vAlign w:val="center"/>
          </w:tcPr>
          <w:p>
            <w:r>
              <w:rPr>
                <w:b/>
              </w:rPr>
              <w:t>Assurance source</w:t>
            </w:r>
          </w:p>
        </w:tc>
        <w:tc>
          <w:tcPr>
            <w:tcW w:type="dxa" w:w="4939"/>
            <w:shd w:fill="F3EDF7"/>
            <w:vAlign w:val="center"/>
          </w:tcPr>
          <w:p>
            <w:r>
              <w:rPr>
                <w:b/>
              </w:rPr>
              <w:t>What it contributes</w:t>
            </w:r>
          </w:p>
        </w:tc>
      </w:tr>
      <w:tr>
        <w:tc>
          <w:tcPr>
            <w:tcW w:type="dxa" w:w="4939"/>
            <w:vAlign w:val="top"/>
          </w:tcPr>
          <w:p>
            <w:r>
              <w:t>Implementation status</w:t>
            </w:r>
          </w:p>
        </w:tc>
        <w:tc>
          <w:tcPr>
            <w:tcW w:type="dxa" w:w="4939"/>
            <w:vAlign w:val="top"/>
          </w:tcPr>
          <w:p>
            <w:r>
              <w:t>Whether the organisation Control is deployed and operating in the relevant scope.</w:t>
            </w:r>
          </w:p>
        </w:tc>
      </w:tr>
      <w:tr>
        <w:tc>
          <w:tcPr>
            <w:tcW w:type="dxa" w:w="4939"/>
            <w:vAlign w:val="top"/>
          </w:tcPr>
          <w:p>
            <w:r>
              <w:t>Policies / documents</w:t>
            </w:r>
          </w:p>
        </w:tc>
        <w:tc>
          <w:tcPr>
            <w:tcW w:type="dxa" w:w="4939"/>
            <w:vAlign w:val="top"/>
          </w:tcPr>
          <w:p>
            <w:r>
              <w:t>Governance and operating documentation supporting design, responsibility and repeatability.</w:t>
            </w:r>
          </w:p>
        </w:tc>
      </w:tr>
      <w:tr>
        <w:tc>
          <w:tcPr>
            <w:tcW w:type="dxa" w:w="4939"/>
            <w:vAlign w:val="top"/>
          </w:tcPr>
          <w:p>
            <w:r>
              <w:t>Evidence</w:t>
            </w:r>
          </w:p>
        </w:tc>
        <w:tc>
          <w:tcPr>
            <w:tcW w:type="dxa" w:w="4939"/>
            <w:vAlign w:val="top"/>
          </w:tcPr>
          <w:p>
            <w:r>
              <w:t>Current artefacts that support the claimed Control operation.</w:t>
            </w:r>
          </w:p>
        </w:tc>
      </w:tr>
      <w:tr>
        <w:tc>
          <w:tcPr>
            <w:tcW w:type="dxa" w:w="4939"/>
            <w:vAlign w:val="top"/>
          </w:tcPr>
          <w:p>
            <w:r>
              <w:t>Assessments</w:t>
            </w:r>
          </w:p>
        </w:tc>
        <w:tc>
          <w:tcPr>
            <w:tcW w:type="dxa" w:w="4939"/>
            <w:vAlign w:val="top"/>
          </w:tcPr>
          <w:p>
            <w:r>
              <w:t>A recorded management/assurance conclusion about the Control.</w:t>
            </w:r>
          </w:p>
        </w:tc>
      </w:tr>
      <w:tr>
        <w:tc>
          <w:tcPr>
            <w:tcW w:type="dxa" w:w="4939"/>
            <w:vAlign w:val="top"/>
          </w:tcPr>
          <w:p>
            <w:r>
              <w:t>Tests / test runs</w:t>
            </w:r>
          </w:p>
        </w:tc>
        <w:tc>
          <w:tcPr>
            <w:tcW w:type="dxa" w:w="4939"/>
            <w:vAlign w:val="top"/>
          </w:tcPr>
          <w:p>
            <w:r>
              <w:t>Evidence that design or operation was actually evaluated.</w:t>
            </w:r>
          </w:p>
        </w:tc>
      </w:tr>
      <w:tr>
        <w:tc>
          <w:tcPr>
            <w:tcW w:type="dxa" w:w="4939"/>
            <w:vAlign w:val="top"/>
          </w:tcPr>
          <w:p>
            <w:r>
              <w:t>Risks</w:t>
            </w:r>
          </w:p>
        </w:tc>
        <w:tc>
          <w:tcPr>
            <w:tcW w:type="dxa" w:w="4939"/>
            <w:vAlign w:val="top"/>
          </w:tcPr>
          <w:p>
            <w:r>
              <w:t>The risk context the Control treats, monitors or helps reduce.</w:t>
            </w:r>
          </w:p>
        </w:tc>
      </w:tr>
      <w:tr>
        <w:tc>
          <w:tcPr>
            <w:tcW w:type="dxa" w:w="4939"/>
            <w:vAlign w:val="top"/>
          </w:tcPr>
          <w:p>
            <w:r>
              <w:t>Issues / exceptions</w:t>
            </w:r>
          </w:p>
        </w:tc>
        <w:tc>
          <w:tcPr>
            <w:tcW w:type="dxa" w:w="4939"/>
            <w:vAlign w:val="top"/>
          </w:tcPr>
          <w:p>
            <w:r>
              <w:t>Known deficiencies, deviations, remediation and accepted departures that may constrain assurance.</w:t>
            </w:r>
          </w:p>
        </w:tc>
      </w:tr>
    </w:tbl>
    <w:p/>
    <w:p>
      <w:pPr>
        <w:pStyle w:val="Heading1"/>
      </w:pPr>
      <w:r>
        <w:t>10. Manage applicability and additional targets</w:t>
      </w:r>
    </w:p>
    <w:p>
      <w:pPr/>
      <w:r>
        <w:t>The selected IG defines the baseline target. PurpleWASP keeps framework-specific decisions in the CIS programme so implementation history is not mixed into shared Control records.</w:t>
      </w:r>
    </w:p>
    <w:p>
      <w:pPr>
        <w:pStyle w:val="ListBullet"/>
      </w:pPr>
      <w:r>
        <w:t>A baseline Safeguard cannot simply be removed from the target because it is inconvenient.</w:t>
      </w:r>
    </w:p>
    <w:p>
      <w:pPr>
        <w:pStyle w:val="ListBullet"/>
      </w:pPr>
      <w:r>
        <w:t>Use Not applicable only when scope/context genuinely makes the Safeguard inapplicable, and record a defensible rationale.</w:t>
      </w:r>
    </w:p>
    <w:p>
      <w:pPr>
        <w:pStyle w:val="ListBullet"/>
      </w:pPr>
      <w:r>
        <w:t>Use additional-target selection to bring a higher-IG Safeguard into the programme without changing the entire baseline.</w:t>
      </w:r>
    </w:p>
    <w:p>
      <w:pPr>
        <w:pStyle w:val="ListBullet"/>
      </w:pPr>
      <w:r>
        <w:t>When the current programme is confirmed, saving a Safeguard decision creates/reuses a successor draft. Reporting stays on the confirmed programme until the draft is confirmed.</w:t>
      </w:r>
    </w:p>
    <w:p>
      <w:pPr>
        <w:pStyle w:val="Heading1"/>
      </w:pPr>
      <w:r>
        <w:t>11. Use Drivers / Improve Score</w:t>
      </w:r>
    </w:p>
    <w:p>
      <w:pPr/>
      <w:r>
        <w:t>PurpleWASP readiness is an internal management model intended to turn the framework into actionable work. The current model separates setup, Control coverage, implementation, governance documents, current evidence, assessment/testing and issue/exception impact.</w:t>
      </w:r>
    </w:p>
    <w:tbl>
      <w:tblPr>
        <w:tblStyle w:val="TableGrid"/>
        <w:tblW w:type="auto" w:w="0"/>
        <w:tblLook w:firstColumn="1" w:firstRow="1" w:lastColumn="0" w:lastRow="0" w:noHBand="0" w:noVBand="1" w:val="04A0"/>
      </w:tblPr>
      <w:tblGrid>
        <w:gridCol w:w="4939"/>
        <w:gridCol w:w="4939"/>
      </w:tblGrid>
      <w:tr>
        <w:trPr>
          <w:tblHeader w:val="true"/>
        </w:trPr>
        <w:tc>
          <w:tcPr>
            <w:tcW w:type="dxa" w:w="4939"/>
            <w:shd w:fill="F3EDF7"/>
            <w:vAlign w:val="center"/>
          </w:tcPr>
          <w:p>
            <w:r>
              <w:rPr>
                <w:b/>
              </w:rPr>
              <w:t>Driver</w:t>
            </w:r>
          </w:p>
        </w:tc>
        <w:tc>
          <w:tcPr>
            <w:tcW w:type="dxa" w:w="4939"/>
            <w:shd w:fill="F3EDF7"/>
            <w:vAlign w:val="center"/>
          </w:tcPr>
          <w:p>
            <w:r>
              <w:rPr>
                <w:b/>
              </w:rPr>
              <w:t>Current PurpleWASP weight</w:t>
            </w:r>
          </w:p>
        </w:tc>
      </w:tr>
      <w:tr>
        <w:tc>
          <w:tcPr>
            <w:tcW w:type="dxa" w:w="4939"/>
            <w:vAlign w:val="top"/>
          </w:tcPr>
          <w:p>
            <w:r>
              <w:t>CIS setup, IG and scope</w:t>
            </w:r>
          </w:p>
        </w:tc>
        <w:tc>
          <w:tcPr>
            <w:tcW w:type="dxa" w:w="4939"/>
            <w:vAlign w:val="top"/>
          </w:tcPr>
          <w:p>
            <w:r>
              <w:t>10 points</w:t>
            </w:r>
          </w:p>
        </w:tc>
      </w:tr>
      <w:tr>
        <w:tc>
          <w:tcPr>
            <w:tcW w:type="dxa" w:w="4939"/>
            <w:vAlign w:val="top"/>
          </w:tcPr>
          <w:p>
            <w:r>
              <w:t>Safeguard Control coverage</w:t>
            </w:r>
          </w:p>
        </w:tc>
        <w:tc>
          <w:tcPr>
            <w:tcW w:type="dxa" w:w="4939"/>
            <w:vAlign w:val="top"/>
          </w:tcPr>
          <w:p>
            <w:r>
              <w:t>20 points</w:t>
            </w:r>
          </w:p>
        </w:tc>
      </w:tr>
      <w:tr>
        <w:tc>
          <w:tcPr>
            <w:tcW w:type="dxa" w:w="4939"/>
            <w:vAlign w:val="top"/>
          </w:tcPr>
          <w:p>
            <w:r>
              <w:t>Control implementation</w:t>
            </w:r>
          </w:p>
        </w:tc>
        <w:tc>
          <w:tcPr>
            <w:tcW w:type="dxa" w:w="4939"/>
            <w:vAlign w:val="top"/>
          </w:tcPr>
          <w:p>
            <w:r>
              <w:t>30 points</w:t>
            </w:r>
          </w:p>
        </w:tc>
      </w:tr>
      <w:tr>
        <w:tc>
          <w:tcPr>
            <w:tcW w:type="dxa" w:w="4939"/>
            <w:vAlign w:val="top"/>
          </w:tcPr>
          <w:p>
            <w:r>
              <w:t>Governance document support</w:t>
            </w:r>
          </w:p>
        </w:tc>
        <w:tc>
          <w:tcPr>
            <w:tcW w:type="dxa" w:w="4939"/>
            <w:vAlign w:val="top"/>
          </w:tcPr>
          <w:p>
            <w:r>
              <w:t>10 points</w:t>
            </w:r>
          </w:p>
        </w:tc>
      </w:tr>
      <w:tr>
        <w:tc>
          <w:tcPr>
            <w:tcW w:type="dxa" w:w="4939"/>
            <w:vAlign w:val="top"/>
          </w:tcPr>
          <w:p>
            <w:r>
              <w:t>Current evidence</w:t>
            </w:r>
          </w:p>
        </w:tc>
        <w:tc>
          <w:tcPr>
            <w:tcW w:type="dxa" w:w="4939"/>
            <w:vAlign w:val="top"/>
          </w:tcPr>
          <w:p>
            <w:r>
              <w:t>15 points</w:t>
            </w:r>
          </w:p>
        </w:tc>
      </w:tr>
      <w:tr>
        <w:tc>
          <w:tcPr>
            <w:tcW w:type="dxa" w:w="4939"/>
            <w:vAlign w:val="top"/>
          </w:tcPr>
          <w:p>
            <w:r>
              <w:t>Assessment and testing</w:t>
            </w:r>
          </w:p>
        </w:tc>
        <w:tc>
          <w:tcPr>
            <w:tcW w:type="dxa" w:w="4939"/>
            <w:vAlign w:val="top"/>
          </w:tcPr>
          <w:p>
            <w:r>
              <w:t>10 points</w:t>
            </w:r>
          </w:p>
        </w:tc>
      </w:tr>
      <w:tr>
        <w:tc>
          <w:tcPr>
            <w:tcW w:type="dxa" w:w="4939"/>
            <w:vAlign w:val="top"/>
          </w:tcPr>
          <w:p>
            <w:r>
              <w:t>Issue / exception impact</w:t>
            </w:r>
          </w:p>
        </w:tc>
        <w:tc>
          <w:tcPr>
            <w:tcW w:type="dxa" w:w="4939"/>
            <w:vAlign w:val="top"/>
          </w:tcPr>
          <w:p>
            <w:r>
              <w:t>5 points</w:t>
            </w:r>
          </w:p>
        </w:tc>
      </w:tr>
    </w:tbl>
    <w:p/>
    <w:p>
      <w:pPr/>
      <w:r>
        <w:t>Use “Improve Score” as a prioritised internal work queue. Do not describe the percentage or potential point gain as an official CIS ranking, certification result or externally defined maturity score.</w:t>
      </w:r>
    </w:p>
    <w:p>
      <w:pPr>
        <w:pStyle w:val="Heading1"/>
      </w:pPr>
      <w:r>
        <w:t>12. Use PurpleWASP step by step</w:t>
      </w:r>
    </w:p>
    <w:p>
      <w:pPr>
        <w:jc w:val="center"/>
      </w:pPr>
      <w:r>
        <w:rPr>
          <w:b/>
        </w:rPr>
        <w:t>Setup &amp; Scope  →  Dashboard  →  Safeguards  →  Safeguard Workspace  →  Drivers / Improve Score  →  Integrity</w:t>
      </w:r>
    </w:p>
    <w:p/>
    <w:tbl>
      <w:tblPr>
        <w:tblStyle w:val="TableGrid"/>
        <w:tblW w:type="auto" w:w="0"/>
        <w:tblLook w:firstColumn="1" w:firstRow="1" w:lastColumn="0" w:lastRow="0" w:noHBand="0" w:noVBand="1" w:val="04A0"/>
      </w:tblPr>
      <w:tblGrid>
        <w:gridCol w:w="4939"/>
        <w:gridCol w:w="4939"/>
      </w:tblGrid>
      <w:tr>
        <w:trPr>
          <w:tblHeader w:val="true"/>
        </w:trPr>
        <w:tc>
          <w:tcPr>
            <w:tcW w:type="dxa" w:w="4939"/>
            <w:shd w:fill="F3EDF7"/>
            <w:vAlign w:val="center"/>
          </w:tcPr>
          <w:p>
            <w:r>
              <w:rPr>
                <w:b/>
              </w:rPr>
              <w:t>Workspace</w:t>
            </w:r>
          </w:p>
        </w:tc>
        <w:tc>
          <w:tcPr>
            <w:tcW w:type="dxa" w:w="4939"/>
            <w:shd w:fill="F3EDF7"/>
            <w:vAlign w:val="center"/>
          </w:tcPr>
          <w:p>
            <w:r>
              <w:rPr>
                <w:b/>
              </w:rPr>
              <w:t>Use</w:t>
            </w:r>
          </w:p>
        </w:tc>
      </w:tr>
      <w:tr>
        <w:tc>
          <w:tcPr>
            <w:tcW w:type="dxa" w:w="4939"/>
            <w:vAlign w:val="top"/>
          </w:tcPr>
          <w:p>
            <w:r>
              <w:t>CIS Dashboard</w:t>
            </w:r>
          </w:p>
        </w:tc>
        <w:tc>
          <w:tcPr>
            <w:tcW w:type="dxa" w:w="4939"/>
            <w:vAlign w:val="top"/>
          </w:tcPr>
          <w:p>
            <w:r>
              <w:t>See target Safeguards, assessment coverage, implementation progress, assurance signals, drivers and Control-level readiness.</w:t>
            </w:r>
          </w:p>
        </w:tc>
      </w:tr>
      <w:tr>
        <w:tc>
          <w:tcPr>
            <w:tcW w:type="dxa" w:w="4939"/>
            <w:vAlign w:val="top"/>
          </w:tcPr>
          <w:p>
            <w:r>
              <w:t>Setup &amp; Scope</w:t>
            </w:r>
          </w:p>
        </w:tc>
        <w:tc>
          <w:tcPr>
            <w:tcW w:type="dxa" w:w="4939"/>
            <w:vAlign w:val="top"/>
          </w:tcPr>
          <w:p>
            <w:r>
              <w:t>Select IG1/IG2/IG3, scope, owner and rationale; save a draft and confirm an immutable baseline.</w:t>
            </w:r>
          </w:p>
        </w:tc>
      </w:tr>
      <w:tr>
        <w:tc>
          <w:tcPr>
            <w:tcW w:type="dxa" w:w="4939"/>
            <w:vAlign w:val="top"/>
          </w:tcPr>
          <w:p>
            <w:r>
              <w:t>Safeguards</w:t>
            </w:r>
          </w:p>
        </w:tc>
        <w:tc>
          <w:tcPr>
            <w:tcW w:type="dxa" w:w="4939"/>
            <w:vAlign w:val="top"/>
          </w:tcPr>
          <w:p>
            <w:r>
              <w:t>Browse/search all 153 Safeguards and filter by Control, target, minimum IG and implementation state.</w:t>
            </w:r>
          </w:p>
        </w:tc>
      </w:tr>
      <w:tr>
        <w:tc>
          <w:tcPr>
            <w:tcW w:type="dxa" w:w="4939"/>
            <w:vAlign w:val="top"/>
          </w:tcPr>
          <w:p>
            <w:r>
              <w:t>Safeguard Workspace</w:t>
            </w:r>
          </w:p>
        </w:tc>
        <w:tc>
          <w:tcPr>
            <w:tcW w:type="dxa" w:w="4939"/>
            <w:vAlign w:val="top"/>
          </w:tcPr>
          <w:p>
            <w:r>
              <w:t>Review framework decision, PurpleWASP Control recommendations, adopted organisation Controls and shared assurance.</w:t>
            </w:r>
          </w:p>
        </w:tc>
      </w:tr>
      <w:tr>
        <w:tc>
          <w:tcPr>
            <w:tcW w:type="dxa" w:w="4939"/>
            <w:vAlign w:val="top"/>
          </w:tcPr>
          <w:p>
            <w:r>
              <w:t>Drivers &amp; Improve Score</w:t>
            </w:r>
          </w:p>
        </w:tc>
        <w:tc>
          <w:tcPr>
            <w:tcW w:type="dxa" w:w="4939"/>
            <w:vAlign w:val="top"/>
          </w:tcPr>
          <w:p>
            <w:r>
              <w:t>Prioritise concrete coverage, implementation, evidence, testing and blocker work.</w:t>
            </w:r>
          </w:p>
        </w:tc>
      </w:tr>
      <w:tr>
        <w:tc>
          <w:tcPr>
            <w:tcW w:type="dxa" w:w="4939"/>
            <w:vAlign w:val="top"/>
          </w:tcPr>
          <w:p>
            <w:r>
              <w:t>Integrity</w:t>
            </w:r>
          </w:p>
        </w:tc>
        <w:tc>
          <w:tcPr>
            <w:tcW w:type="dxa" w:w="4939"/>
            <w:vAlign w:val="top"/>
          </w:tcPr>
          <w:p>
            <w:r>
              <w:t>Reconcile programme lifecycle, IG target counts, Safeguard aggregation and readiness-model consistency.</w:t>
            </w:r>
          </w:p>
        </w:tc>
      </w:tr>
      <w:tr>
        <w:tc>
          <w:tcPr>
            <w:tcW w:type="dxa" w:w="4939"/>
            <w:vAlign w:val="top"/>
          </w:tcPr>
          <w:p>
            <w:r>
              <w:t>Control Management</w:t>
            </w:r>
          </w:p>
        </w:tc>
        <w:tc>
          <w:tcPr>
            <w:tcW w:type="dxa" w:w="4939"/>
            <w:vAlign w:val="top"/>
          </w:tcPr>
          <w:p>
            <w:r>
              <w:t>Own the organisation Control implementation, evidence, documents, Risks, tests, issues and exceptions.</w:t>
            </w:r>
          </w:p>
        </w:tc>
      </w:tr>
    </w:tbl>
    <w:p/>
    <w:p>
      <w:pPr>
        <w:pStyle w:val="Heading1"/>
      </w:pPr>
      <w:r>
        <w:t>13. Example 90-day implementation roadmap</w:t>
      </w:r>
    </w:p>
    <w:tbl>
      <w:tblPr>
        <w:tblStyle w:val="TableGrid"/>
        <w:tblW w:type="auto" w:w="0"/>
        <w:tblLook w:firstColumn="1" w:firstRow="1" w:lastColumn="0" w:lastRow="0" w:noHBand="0" w:noVBand="1" w:val="04A0"/>
      </w:tblPr>
      <w:tblGrid>
        <w:gridCol w:w="3293"/>
        <w:gridCol w:w="3293"/>
        <w:gridCol w:w="3293"/>
      </w:tblGrid>
      <w:tr>
        <w:trPr>
          <w:tblHeader w:val="true"/>
        </w:trPr>
        <w:tc>
          <w:tcPr>
            <w:tcW w:type="dxa" w:w="3293"/>
            <w:shd w:fill="F3EDF7"/>
            <w:vAlign w:val="center"/>
          </w:tcPr>
          <w:p>
            <w:r>
              <w:rPr>
                <w:b/>
              </w:rPr>
              <w:t>Period</w:t>
            </w:r>
          </w:p>
        </w:tc>
        <w:tc>
          <w:tcPr>
            <w:tcW w:type="dxa" w:w="3293"/>
            <w:shd w:fill="F3EDF7"/>
            <w:vAlign w:val="center"/>
          </w:tcPr>
          <w:p>
            <w:r>
              <w:rPr>
                <w:b/>
              </w:rPr>
              <w:t>Activities</w:t>
            </w:r>
          </w:p>
        </w:tc>
        <w:tc>
          <w:tcPr>
            <w:tcW w:type="dxa" w:w="3293"/>
            <w:shd w:fill="F3EDF7"/>
            <w:vAlign w:val="center"/>
          </w:tcPr>
          <w:p>
            <w:r>
              <w:rPr>
                <w:b/>
              </w:rPr>
              <w:t>Exit condition</w:t>
            </w:r>
          </w:p>
        </w:tc>
      </w:tr>
      <w:tr>
        <w:tc>
          <w:tcPr>
            <w:tcW w:type="dxa" w:w="3293"/>
            <w:vAlign w:val="top"/>
          </w:tcPr>
          <w:p>
            <w:r>
              <w:t>Days 1–10</w:t>
            </w:r>
          </w:p>
        </w:tc>
        <w:tc>
          <w:tcPr>
            <w:tcW w:type="dxa" w:w="3293"/>
            <w:vAlign w:val="top"/>
          </w:tcPr>
          <w:p>
            <w:r>
              <w:t>Programme owner, scope, IG rationale and baseline confirmation</w:t>
            </w:r>
          </w:p>
        </w:tc>
        <w:tc>
          <w:tcPr>
            <w:tcW w:type="dxa" w:w="3293"/>
            <w:vAlign w:val="top"/>
          </w:tcPr>
          <w:p>
            <w:r>
              <w:t>Confirmed programme with defensible target and accountability.</w:t>
            </w:r>
          </w:p>
        </w:tc>
      </w:tr>
      <w:tr>
        <w:tc>
          <w:tcPr>
            <w:tcW w:type="dxa" w:w="3293"/>
            <w:vAlign w:val="top"/>
          </w:tcPr>
          <w:p>
            <w:r>
              <w:t>Days 11–30</w:t>
            </w:r>
          </w:p>
        </w:tc>
        <w:tc>
          <w:tcPr>
            <w:tcW w:type="dxa" w:w="3293"/>
            <w:vAlign w:val="top"/>
          </w:tcPr>
          <w:p>
            <w:r>
              <w:t>Review existing organisation Controls and resolve the highest-value coverage gaps</w:t>
            </w:r>
          </w:p>
        </w:tc>
        <w:tc>
          <w:tcPr>
            <w:tcW w:type="dxa" w:w="3293"/>
            <w:vAlign w:val="top"/>
          </w:tcPr>
          <w:p>
            <w:r>
              <w:t>Priority Safeguards have authoritative Control coverage.</w:t>
            </w:r>
          </w:p>
        </w:tc>
      </w:tr>
      <w:tr>
        <w:tc>
          <w:tcPr>
            <w:tcW w:type="dxa" w:w="3293"/>
            <w:vAlign w:val="top"/>
          </w:tcPr>
          <w:p>
            <w:r>
              <w:t>Days 31–50</w:t>
            </w:r>
          </w:p>
        </w:tc>
        <w:tc>
          <w:tcPr>
            <w:tcW w:type="dxa" w:w="3293"/>
            <w:vAlign w:val="top"/>
          </w:tcPr>
          <w:p>
            <w:r>
              <w:t>Advance planned/partial Controls and resolve obvious implementation deficiencies</w:t>
            </w:r>
          </w:p>
        </w:tc>
        <w:tc>
          <w:tcPr>
            <w:tcW w:type="dxa" w:w="3293"/>
            <w:vAlign w:val="top"/>
          </w:tcPr>
          <w:p>
            <w:r>
              <w:t>Major implementation blockers are owned and being remediated.</w:t>
            </w:r>
          </w:p>
        </w:tc>
      </w:tr>
      <w:tr>
        <w:tc>
          <w:tcPr>
            <w:tcW w:type="dxa" w:w="3293"/>
            <w:vAlign w:val="top"/>
          </w:tcPr>
          <w:p>
            <w:r>
              <w:t>Days 51–70</w:t>
            </w:r>
          </w:p>
        </w:tc>
        <w:tc>
          <w:tcPr>
            <w:tcW w:type="dxa" w:w="3293"/>
            <w:vAlign w:val="top"/>
          </w:tcPr>
          <w:p>
            <w:r>
              <w:t>Attach current evidence/documents and complete representative assessments/tests</w:t>
            </w:r>
          </w:p>
        </w:tc>
        <w:tc>
          <w:tcPr>
            <w:tcW w:type="dxa" w:w="3293"/>
            <w:vAlign w:val="top"/>
          </w:tcPr>
          <w:p>
            <w:r>
              <w:t>High-priority implemented Controls have credible assurance support.</w:t>
            </w:r>
          </w:p>
        </w:tc>
      </w:tr>
      <w:tr>
        <w:tc>
          <w:tcPr>
            <w:tcW w:type="dxa" w:w="3293"/>
            <w:vAlign w:val="top"/>
          </w:tcPr>
          <w:p>
            <w:r>
              <w:t>Days 71–80</w:t>
            </w:r>
          </w:p>
        </w:tc>
        <w:tc>
          <w:tcPr>
            <w:tcW w:type="dxa" w:w="3293"/>
            <w:vAlign w:val="top"/>
          </w:tcPr>
          <w:p>
            <w:r>
              <w:t>Review issues/exceptions, N/A rationales and higher-IG additions</w:t>
            </w:r>
          </w:p>
        </w:tc>
        <w:tc>
          <w:tcPr>
            <w:tcW w:type="dxa" w:w="3293"/>
            <w:vAlign w:val="top"/>
          </w:tcPr>
          <w:p>
            <w:r>
              <w:t>Framework-specific decisions are defensible and blockers are visible.</w:t>
            </w:r>
          </w:p>
        </w:tc>
      </w:tr>
      <w:tr>
        <w:tc>
          <w:tcPr>
            <w:tcW w:type="dxa" w:w="3293"/>
            <w:vAlign w:val="top"/>
          </w:tcPr>
          <w:p>
            <w:r>
              <w:t>Days 81–90</w:t>
            </w:r>
          </w:p>
        </w:tc>
        <w:tc>
          <w:tcPr>
            <w:tcW w:type="dxa" w:w="3293"/>
            <w:vAlign w:val="top"/>
          </w:tcPr>
          <w:p>
            <w:r>
              <w:t>Run Drivers/Improve Score, Integrity and management review; set next-quarter plan</w:t>
            </w:r>
          </w:p>
        </w:tc>
        <w:tc>
          <w:tcPr>
            <w:tcW w:type="dxa" w:w="3293"/>
            <w:vAlign w:val="top"/>
          </w:tcPr>
          <w:p>
            <w:r>
              <w:t>Consistent baseline with a prioritised improvement backlog and operating cadence.</w:t>
            </w:r>
          </w:p>
        </w:tc>
      </w:tr>
    </w:tbl>
    <w:p/>
    <w:p>
      <w:pPr>
        <w:pStyle w:val="Heading1"/>
      </w:pPr>
      <w:r>
        <w:t>14. Operating cadence</w:t>
      </w:r>
    </w:p>
    <w:p>
      <w:pPr>
        <w:pStyle w:val="ListBullet"/>
      </w:pPr>
      <w:r>
        <w:t>Monthly: review high-value Coverage required, Planned and Partially implemented Safeguards and overdue remediation.</w:t>
      </w:r>
    </w:p>
    <w:p>
      <w:pPr>
        <w:pStyle w:val="ListBullet"/>
      </w:pPr>
      <w:r>
        <w:t>Quarterly: sample evidence currentness, test important Controls, review exceptions and reassess implementation where the environment changed.</w:t>
      </w:r>
    </w:p>
    <w:p>
      <w:pPr>
        <w:pStyle w:val="ListBullet"/>
      </w:pPr>
      <w:r>
        <w:t>After major technology, business, incident or threat change: reassess affected scope, Controls and selected Safeguards.</w:t>
      </w:r>
    </w:p>
    <w:p>
      <w:pPr>
        <w:pStyle w:val="ListBullet"/>
      </w:pPr>
      <w:r>
        <w:t>At least annually: reconsider the Implementation Group, programme scope, owner, N/A decisions and improvement priorities.</w:t>
      </w:r>
    </w:p>
    <w:p>
      <w:pPr>
        <w:pStyle w:val="Heading1"/>
      </w:pPr>
      <w:r>
        <w:t>15. Common mistakes</w:t>
      </w:r>
    </w:p>
    <w:p>
      <w:pPr>
        <w:pStyle w:val="ListBullet"/>
      </w:pPr>
      <w:r>
        <w:t>Treating all 153 Safeguards as an automatic first-day target without considering the Implementation Group model.</w:t>
      </w:r>
    </w:p>
    <w:p>
      <w:pPr>
        <w:pStyle w:val="ListBullet"/>
      </w:pPr>
      <w:r>
        <w:t>Calling Coverage required “Not implemented” before any organisation Control has been adopted or assessed.</w:t>
      </w:r>
    </w:p>
    <w:p>
      <w:pPr>
        <w:pStyle w:val="ListBullet"/>
      </w:pPr>
      <w:r>
        <w:t>Creating CIS-only duplicate Controls, evidence or tests instead of reusing Control Management.</w:t>
      </w:r>
    </w:p>
    <w:p>
      <w:pPr>
        <w:pStyle w:val="ListBullet"/>
      </w:pPr>
      <w:r>
        <w:t>Assuming a canonical or cross-framework mapping proves implementation or effectiveness.</w:t>
      </w:r>
    </w:p>
    <w:p>
      <w:pPr>
        <w:pStyle w:val="ListBullet"/>
      </w:pPr>
      <w:r>
        <w:t>Marking a baseline Safeguard Not applicable without a defensible scope/context rationale.</w:t>
      </w:r>
    </w:p>
    <w:p>
      <w:pPr>
        <w:pStyle w:val="ListBullet"/>
      </w:pPr>
      <w:r>
        <w:t>Optimising for the PurpleWASP readiness percentage instead of fixing the underlying Control and assurance records.</w:t>
      </w:r>
    </w:p>
    <w:p>
      <w:pPr>
        <w:pStyle w:val="ListBullet"/>
      </w:pPr>
      <w:r>
        <w:t>Presenting PurpleWASP readiness as an official CIS score or certification conclusion.</w:t>
      </w:r>
    </w:p>
    <w:p>
      <w:pPr>
        <w:pStyle w:val="ListBullet"/>
      </w:pPr>
      <w:r>
        <w:t>Reproducing licensed CIS content in a commercial deployment without confirming the required rights.</w:t>
      </w:r>
    </w:p>
    <w:p>
      <w:pPr>
        <w:pStyle w:val="Heading1"/>
      </w:pPr>
      <w:r>
        <w:t>16. Master checklist</w:t>
      </w:r>
    </w:p>
    <w:p>
      <w:pPr>
        <w:pStyle w:val="ListBullet"/>
      </w:pPr>
      <w:r>
        <w:t>Programme owner, scope, business context and IG rationale are recorded.</w:t>
      </w:r>
    </w:p>
    <w:p>
      <w:pPr>
        <w:pStyle w:val="ListBullet"/>
      </w:pPr>
      <w:r>
        <w:t>One confirmed programme is authoritative; changes use a successor draft.</w:t>
      </w:r>
    </w:p>
    <w:p>
      <w:pPr>
        <w:pStyle w:val="ListBullet"/>
      </w:pPr>
      <w:r>
        <w:t>The baseline target reconciles to 56 (IG1), 130 (IG2) or 153 (IG3), plus any intentional additional targets.</w:t>
      </w:r>
    </w:p>
    <w:p>
      <w:pPr>
        <w:pStyle w:val="ListBullet"/>
      </w:pPr>
      <w:r>
        <w:t>Coverage required Safeguards have been triaged for Control adoption/mapping.</w:t>
      </w:r>
    </w:p>
    <w:p>
      <w:pPr>
        <w:pStyle w:val="ListBullet"/>
      </w:pPr>
      <w:r>
        <w:t>Mapped organisation Controls have accurate implementation states and applicability.</w:t>
      </w:r>
    </w:p>
    <w:p>
      <w:pPr>
        <w:pStyle w:val="ListBullet"/>
      </w:pPr>
      <w:r>
        <w:t>High-priority Controls have current governance documents, evidence and assessment/testing support.</w:t>
      </w:r>
    </w:p>
    <w:p>
      <w:pPr>
        <w:pStyle w:val="ListBullet"/>
      </w:pPr>
      <w:r>
        <w:t>Open issues/exceptions are understood and material blockers are not hidden by a headline percentage.</w:t>
      </w:r>
    </w:p>
    <w:p>
      <w:pPr>
        <w:pStyle w:val="ListBullet"/>
      </w:pPr>
      <w:r>
        <w:t>Not applicable Safeguards have clear rationale.</w:t>
      </w:r>
    </w:p>
    <w:p>
      <w:pPr>
        <w:pStyle w:val="ListBullet"/>
      </w:pPr>
      <w:r>
        <w:t>Cross-framework reuse is reviewed as implementation context, not as automatic compliance.</w:t>
      </w:r>
    </w:p>
    <w:p>
      <w:pPr>
        <w:pStyle w:val="ListBullet"/>
      </w:pPr>
      <w:r>
        <w:t>Drivers / Improve Score and Integrity have been reviewed before management sign-off.</w:t>
      </w:r>
    </w:p>
    <w:p>
      <w:pPr>
        <w:pStyle w:val="Heading1"/>
      </w:pPr>
      <w:r>
        <w:t>17. Content/licensing boundary</w:t>
      </w:r>
    </w:p>
    <w:p>
      <w:pPr/>
      <w:r>
        <w:t>PurpleWASP defaults to identifier_only content mode for CIS. In that mode the product uses identifiers such as “CIS Control 17” and “CIS Safeguard 17.3” plus PurpleWASP-authored implementation/assurance context, rather than distributing the official CIS Safeguard text. A licensed content mode should be enabled only where the deployment has confirmed commercial-use rights appropriate to the intended use.</w:t>
      </w:r>
    </w:p>
    <w:tbl>
      <w:tblPr>
        <w:tblW w:type="auto" w:w="0"/>
        <w:tblLook w:firstColumn="1" w:firstRow="1" w:lastColumn="0" w:lastRow="0" w:noHBand="0" w:noVBand="1" w:val="04A0"/>
      </w:tblPr>
      <w:tblGrid>
        <w:gridCol w:w="9878"/>
      </w:tblGrid>
      <w:tr>
        <w:tc>
          <w:tcPr>
            <w:tcW w:type="dxa" w:w="9878"/>
            <w:shd w:fill="F3EDF7"/>
          </w:tcPr>
          <w:p>
            <w:r>
              <w:rPr>
                <w:b/>
              </w:rPr>
              <w:t>Use the official source for authoritative wording</w:t>
              <w:br/>
            </w:r>
            <w:r>
              <w:t>CIS Controls v8.1 and the CIS Controls Assessment Specification are published by CIS. Obtain the current authoritative content directly from CIS and review the applicable CIS Terms of Use before reproducing or redistributing it, especially in commercial software or documentation.</w:t>
            </w:r>
          </w:p>
        </w:tc>
      </w:tr>
    </w:tbl>
    <w:p/>
    <w:p>
      <w:pPr>
        <w:pStyle w:val="Heading1"/>
      </w:pPr>
      <w:r>
        <w:t>18. References and source baseline</w:t>
      </w:r>
    </w:p>
    <w:p>
      <w:pPr/>
      <w:r>
        <w:t>PurpleWASP product baseline: CIS v8.1 foundation/setup and operational UI packages, shared Compliance framework context, current Control Management architecture and the resource package updated with this documentation set.</w:t>
      </w:r>
    </w:p>
    <w:p>
      <w:pPr/>
      <w:r>
        <w:t>1. CIS — CIS Critical Security Controls Version 8.1. https://www.cisecurity.org/controls/v8-1</w:t>
      </w:r>
    </w:p>
    <w:p>
      <w:pPr/>
      <w:r>
        <w:t>2. CIS — Implementation Groups. https://www.cisecurity.org/controls/implementation-groups</w:t>
      </w:r>
    </w:p>
    <w:p>
      <w:pPr/>
      <w:r>
        <w:t>3. CIS — Controls Assessment Specification. https://www.cisecurity.org/controls/cis-controls-assessment-specification</w:t>
      </w:r>
    </w:p>
    <w:p>
      <w:pPr/>
      <w:r>
        <w:t>4. CIS — CIS Controls Navigator. https://www.cisecurity.org/controls/cis-controls-navigator</w:t>
      </w:r>
    </w:p>
    <w:p>
      <w:pPr/>
      <w:r>
        <w:t>5. CIS — Terms of Use for the Controls Assessment Specification. https://cas.docs.cisecurity.org/en/latest/source/terms-of-use/</w:t>
      </w:r>
    </w:p>
    <w:p>
      <w:pPr/>
      <w:r>
        <w:t>External CIS sources were checked against the public material available on 19 September 2026. Framework versions, supporting material and licensing terms can change; confirm the current CIS source and applicable rights before a new implementation, assessment or commercial distribution.</w:t>
      </w:r>
    </w:p>
    <w:sectPr w:rsidR="00FC693F" w:rsidRPr="0006063C" w:rsidSect="00034616">
      <w:headerReference w:type="default" r:id="rId9"/>
      <w:footerReference w:type="default" r:id="rId10"/>
      <w:pgSz w:w="12240" w:h="15840"/>
      <w:pgMar w:top="1080" w:right="1181" w:bottom="1008" w:left="118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PWSmall"/>
      <w:jc w:val="right"/>
    </w:pPr>
    <w:r>
      <w:t xml:space="preserve">Page </w:t>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PWSmall"/>
      <w:jc w:val="right"/>
    </w:pPr>
    <w:r>
      <w:t>PurpleWASP  |  Framework Documentation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9" w:lineRule="auto"/>
    </w:pPr>
    <w:rPr>
      <w:rFonts w:ascii="Arial" w:hAnsi="Arial"/>
      <w:color w:val="222222"/>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00"/>
      <w:outlineLvl w:val="0"/>
    </w:pPr>
    <w:rPr>
      <w:rFonts w:asciiTheme="majorHAnsi" w:eastAsiaTheme="majorEastAsia" w:hAnsiTheme="majorHAnsi" w:cstheme="majorBidi" w:ascii="Arial" w:hAnsi="Arial"/>
      <w:b/>
      <w:bCs/>
      <w:color w:val="4B0983"/>
      <w:sz w:val="36"/>
      <w:szCs w:val="28"/>
    </w:rPr>
  </w:style>
  <w:style w:type="paragraph" w:styleId="Heading2">
    <w:name w:val="heading 2"/>
    <w:basedOn w:val="Normal"/>
    <w:next w:val="Normal"/>
    <w:link w:val="Heading2Char"/>
    <w:uiPriority w:val="9"/>
    <w:unhideWhenUsed/>
    <w:qFormat/>
    <w:rsid w:val="00FC693F"/>
    <w:pPr>
      <w:keepNext/>
      <w:keepLines/>
      <w:spacing w:before="200" w:after="100"/>
      <w:outlineLvl w:val="1"/>
    </w:pPr>
    <w:rPr>
      <w:rFonts w:asciiTheme="majorHAnsi" w:eastAsiaTheme="majorEastAsia" w:hAnsiTheme="majorHAnsi" w:cstheme="majorBidi" w:ascii="Arial" w:hAnsi="Arial"/>
      <w:b/>
      <w:bCs/>
      <w:color w:val="2E203C"/>
      <w:sz w:val="26"/>
      <w:szCs w:val="26"/>
    </w:rPr>
  </w:style>
  <w:style w:type="paragraph" w:styleId="Heading3">
    <w:name w:val="heading 3"/>
    <w:basedOn w:val="Normal"/>
    <w:next w:val="Normal"/>
    <w:link w:val="Heading3Char"/>
    <w:uiPriority w:val="9"/>
    <w:unhideWhenUsed/>
    <w:qFormat/>
    <w:rsid w:val="00FC693F"/>
    <w:pPr>
      <w:keepNext/>
      <w:keepLines/>
      <w:spacing w:before="200" w:after="100"/>
      <w:outlineLvl w:val="2"/>
    </w:pPr>
    <w:rPr>
      <w:rFonts w:asciiTheme="majorHAnsi" w:eastAsiaTheme="majorEastAsia" w:hAnsiTheme="majorHAnsi" w:cstheme="majorBidi" w:ascii="Arial" w:hAnsi="Arial"/>
      <w:b/>
      <w:bCs/>
      <w:color w:val="4B0983"/>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0"/>
      <w:contextualSpacing/>
    </w:pPr>
    <w:rPr>
      <w:rFonts w:asciiTheme="majorHAnsi" w:eastAsiaTheme="majorEastAsia" w:hAnsiTheme="majorHAnsi" w:cstheme="majorBidi" w:ascii="Arial" w:hAnsi="Arial"/>
      <w:b/>
      <w:color w:val="2E203C"/>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PWSmall">
    <w:name w:val="PW Small"/>
    <w:rPr>
      <w:rFonts w:ascii="Arial" w:hAnsi="Arial"/>
      <w:color w:val="666666"/>
      <w:sz w:val="16"/>
    </w:rPr>
  </w:style>
  <w:style w:type="paragraph" w:customStyle="1" w:styleId="PWCallout">
    <w:name w:val="PW Callout"/>
    <w:rPr>
      <w:rFonts w:ascii="Arial" w:hAnsi="Arial"/>
      <w:b/>
      <w:color w:val="2E203C"/>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CIS Controls v8.1 First-Time Implementation Handbook</dc:title>
  <dc:subject>PurpleWASP CIS Controls v8.1 implementation handbook</dc:subject>
  <dc:creator>PurpleWASP</dc:creator>
  <cp:keywords/>
  <dc:description>generated by python-docx</dc:description>
  <cp:lastModifiedBy/>
  <cp:revision>1</cp:revision>
  <dcterms:created xsi:type="dcterms:W3CDTF">2013-12-23T23:15:00Z</dcterms:created>
  <dcterms:modified xsi:type="dcterms:W3CDTF">2013-12-23T23:15:00Z</dcterms:modified>
  <cp:category/>
</cp:coreProperties>
</file>