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B0983"/>
          <w:sz w:val="28"/>
        </w:rPr>
        <w:t>PURPLEWASP</w:t>
      </w:r>
    </w:p>
    <w:p>
      <w:pPr>
        <w:pStyle w:val="Title"/>
        <w:jc w:val="center"/>
      </w:pPr>
      <w:r>
        <w:t>Cyber Essentials &amp; Cyber Essentials Plus First-Time Implementation Handbook</w:t>
      </w:r>
    </w:p>
    <w:p>
      <w:pPr>
        <w:jc w:val="center"/>
      </w:pPr>
      <w:r>
        <w:rPr>
          <w:color w:val="666666"/>
          <w:sz w:val="26"/>
        </w:rPr>
        <w:t>Current 2026 preparation guide for the Danzell question set and technical-assurance workflow</w:t>
      </w:r>
    </w:p>
    <w:p/>
    <w:tbl>
      <w:tblPr>
        <w:tblW w:type="auto" w:w="0"/>
        <w:jc w:val="center"/>
        <w:tblLayout w:type="autofit"/>
        <w:tblLook w:firstColumn="1" w:firstRow="1" w:lastColumn="0" w:lastRow="0" w:noHBand="0" w:noVBand="1" w:val="04A0"/>
      </w:tblPr>
      <w:tblGrid>
        <w:gridCol w:w="4939"/>
        <w:gridCol w:w="4939"/>
      </w:tblGrid>
      <w:tr>
        <w:tc>
          <w:tcPr>
            <w:tcW w:type="dxa" w:w="4939"/>
            <w:shd w:fill="F3EFF7"/>
            <w:tcMar>
              <w:top w:w="80" w:type="dxa"/>
              <w:start w:w="100" w:type="dxa"/>
              <w:bottom w:w="80" w:type="dxa"/>
              <w:end w:w="100" w:type="dxa"/>
            </w:tcMar>
          </w:tcPr>
          <w:p>
            <w:r>
              <w:rPr>
                <w:b/>
              </w:rPr>
              <w:t>Audience</w:t>
            </w:r>
          </w:p>
        </w:tc>
        <w:tc>
          <w:tcPr>
            <w:tcW w:type="dxa" w:w="4939"/>
            <w:tcMar>
              <w:top w:w="80" w:type="dxa"/>
              <w:start w:w="100" w:type="dxa"/>
              <w:bottom w:w="80" w:type="dxa"/>
              <w:end w:w="100" w:type="dxa"/>
            </w:tcMar>
          </w:tcPr>
          <w:p>
            <w:r>
              <w:t>UK organisations, IT/security teams, assessors liaison staff and management preparing for first certification</w:t>
            </w:r>
          </w:p>
        </w:tc>
      </w:tr>
      <w:tr>
        <w:tc>
          <w:tcPr>
            <w:tcW w:type="dxa" w:w="4939"/>
            <w:shd w:fill="F3EFF7"/>
            <w:tcMar>
              <w:top w:w="80" w:type="dxa"/>
              <w:start w:w="100" w:type="dxa"/>
              <w:bottom w:w="80" w:type="dxa"/>
              <w:end w:w="100" w:type="dxa"/>
            </w:tcMar>
          </w:tcPr>
          <w:p>
            <w:r>
              <w:rPr>
                <w:b/>
              </w:rPr>
              <w:t>Baseline date</w:t>
            </w:r>
          </w:p>
        </w:tc>
        <w:tc>
          <w:tcPr>
            <w:tcW w:type="dxa" w:w="4939"/>
            <w:tcMar>
              <w:top w:w="80" w:type="dxa"/>
              <w:start w:w="100" w:type="dxa"/>
              <w:bottom w:w="80" w:type="dxa"/>
              <w:end w:w="100" w:type="dxa"/>
            </w:tcMar>
          </w:tcPr>
          <w:p>
            <w:r>
              <w:t>18 September 2026</w:t>
            </w:r>
          </w:p>
        </w:tc>
      </w:tr>
      <w:tr>
        <w:tc>
          <w:tcPr>
            <w:tcW w:type="dxa" w:w="4939"/>
            <w:shd w:fill="F3EFF7"/>
            <w:tcMar>
              <w:top w:w="80" w:type="dxa"/>
              <w:start w:w="100" w:type="dxa"/>
              <w:bottom w:w="80" w:type="dxa"/>
              <w:end w:w="100" w:type="dxa"/>
            </w:tcMar>
          </w:tcPr>
          <w:p>
            <w:r>
              <w:rPr>
                <w:b/>
              </w:rPr>
              <w:t>Status</w:t>
            </w:r>
          </w:p>
        </w:tc>
        <w:tc>
          <w:tcPr>
            <w:tcW w:type="dxa" w:w="4939"/>
            <w:tcMar>
              <w:top w:w="80" w:type="dxa"/>
              <w:start w:w="100" w:type="dxa"/>
              <w:bottom w:w="80" w:type="dxa"/>
              <w:end w:w="100" w:type="dxa"/>
            </w:tcMar>
          </w:tcPr>
          <w:p>
            <w:r>
              <w:t>Current documentation baseline</w:t>
            </w:r>
          </w:p>
        </w:tc>
      </w:tr>
      <w:tr>
        <w:tc>
          <w:tcPr>
            <w:tcW w:type="dxa" w:w="4939"/>
            <w:shd w:fill="F3EFF7"/>
            <w:tcMar>
              <w:top w:w="80" w:type="dxa"/>
              <w:start w:w="100" w:type="dxa"/>
              <w:bottom w:w="80" w:type="dxa"/>
              <w:end w:w="100" w:type="dxa"/>
            </w:tcMar>
          </w:tcPr>
          <w:p>
            <w:r>
              <w:rPr>
                <w:b/>
              </w:rPr>
              <w:t>Product scope</w:t>
            </w:r>
          </w:p>
        </w:tc>
        <w:tc>
          <w:tcPr>
            <w:tcW w:type="dxa" w:w="4939"/>
            <w:tcMar>
              <w:top w:w="80" w:type="dxa"/>
              <w:start w:w="100" w:type="dxa"/>
              <w:bottom w:w="80" w:type="dxa"/>
              <w:end w:w="100" w:type="dxa"/>
            </w:tcMar>
          </w:tcPr>
          <w:p>
            <w:r>
              <w:t>PurpleWASP compliance and shared Control Management architecture</w:t>
            </w:r>
          </w:p>
        </w:tc>
      </w:tr>
    </w:tbl>
    <w:p/>
    <w:p>
      <w:pPr>
        <w:pStyle w:val="PWSmall"/>
        <w:jc w:val="center"/>
      </w:pPr>
      <w:r>
        <w:t>Framework implementation decisions should always be validated against the current authoritative scheme/framework material and, where applicable, the independent assessor or service auditor.</w:t>
      </w:r>
    </w:p>
    <w:p>
      <w:r>
        <w:br w:type="page"/>
      </w:r>
    </w:p>
    <w:p>
      <w:pPr>
        <w:pStyle w:val="Heading1"/>
      </w:pPr>
      <w:r>
        <w:t>Document map</w:t>
      </w:r>
    </w:p>
    <w:p>
      <w:r>
        <w:rPr>
          <w:b/>
        </w:rPr>
        <w:t>1. Scheme baseline for 2026</w:t>
      </w:r>
    </w:p>
    <w:p>
      <w:r>
        <w:rPr>
          <w:b/>
        </w:rPr>
        <w:t>2. Understand scope before controls</w:t>
      </w:r>
    </w:p>
    <w:p>
      <w:r>
        <w:rPr>
          <w:b/>
        </w:rPr>
        <w:t>3. Build the implementation team</w:t>
      </w:r>
    </w:p>
    <w:p>
      <w:r>
        <w:rPr>
          <w:b/>
        </w:rPr>
        <w:t>4. Implement the five technical controls</w:t>
      </w:r>
    </w:p>
    <w:p>
      <w:r>
        <w:rPr>
          <w:b/>
        </w:rPr>
        <w:t>5. Prepare the Danzell questionnaire</w:t>
      </w:r>
    </w:p>
    <w:p>
      <w:r>
        <w:rPr>
          <w:b/>
        </w:rPr>
        <w:t>6. Use PurpleWASP for Cyber Essentials</w:t>
      </w:r>
    </w:p>
    <w:p>
      <w:r>
        <w:rPr>
          <w:b/>
        </w:rPr>
        <w:t>7. Resolve readiness gaps and submit</w:t>
      </w:r>
    </w:p>
    <w:p>
      <w:r>
        <w:rPr>
          <w:b/>
        </w:rPr>
        <w:t>8. Prepare for Cyber Essentials Plus</w:t>
      </w:r>
    </w:p>
    <w:p>
      <w:r>
        <w:rPr>
          <w:b/>
        </w:rPr>
        <w:t>9. Operate the Plus testing/remediation cycle</w:t>
      </w:r>
    </w:p>
    <w:p>
      <w:r>
        <w:rPr>
          <w:b/>
        </w:rPr>
        <w:t>10. Certification and renewal</w:t>
      </w:r>
    </w:p>
    <w:p>
      <w:r>
        <w:rPr>
          <w:b/>
        </w:rPr>
        <w:t>11. Example implementation roadmap</w:t>
      </w:r>
    </w:p>
    <w:p>
      <w:r>
        <w:rPr>
          <w:b/>
        </w:rPr>
        <w:t>12. Common failure patterns</w:t>
      </w:r>
    </w:p>
    <w:p>
      <w:r>
        <w:rPr>
          <w:b/>
        </w:rPr>
        <w:t>13. Master checklist</w:t>
      </w:r>
    </w:p>
    <w:p>
      <w:r>
        <w:rPr>
          <w:b/>
        </w:rPr>
        <w:t>14. References</w:t>
      </w:r>
    </w:p>
    <w:p>
      <w:r>
        <w:br w:type="page"/>
      </w:r>
    </w:p>
    <w:p>
      <w:pPr>
        <w:pStyle w:val="Heading1"/>
      </w:pPr>
      <w:r>
        <w:t>1. Scheme baseline for 2026</w:t>
      </w:r>
    </w:p>
    <w:p>
      <w:r>
        <w:t>Cyber Essentials is the UK government-backed baseline cyber-security certification scheme managed through the NCSC and its Delivery Partner IASME. The five technical controls remain Firewalls, Secure Configuration, Security Update Management, User Access Control and Malware Protection.</w:t>
      </w:r>
    </w:p>
    <w:tbl>
      <w:tblPr>
        <w:tblW w:type="auto" w:w="0"/>
        <w:jc w:val="center"/>
        <w:tblLook w:firstColumn="1" w:firstRow="1" w:lastColumn="0" w:lastRow="0" w:noHBand="0" w:noVBand="1" w:val="04A0"/>
      </w:tblPr>
      <w:tblGrid>
        <w:gridCol w:w="9878"/>
      </w:tblGrid>
      <w:tr>
        <w:tc>
          <w:tcPr>
            <w:tcW w:type="dxa" w:w="9878"/>
            <w:shd w:fill="F3EFF7"/>
            <w:tcMar>
              <w:top w:w="120" w:type="dxa"/>
              <w:start w:w="140" w:type="dxa"/>
              <w:bottom w:w="120" w:type="dxa"/>
              <w:end w:w="140" w:type="dxa"/>
            </w:tcMar>
          </w:tcPr>
          <w:p>
            <w:r>
              <w:rPr>
                <w:b/>
                <w:color w:val="4B0983"/>
              </w:rPr>
              <w:t>Current version</w:t>
              <w:br/>
            </w:r>
            <w:r>
              <w:t>As of 18 September 2026, the NCSC identifies Requirements for IT Infrastructure v3.3 as the current requirements, effective from 27 April 2026. IASME identifies the current assessment question set for new purchases from that date as “Danzell”.</w:t>
            </w:r>
          </w:p>
        </w:tc>
      </w:tr>
    </w:tbl>
    <w:p/>
    <w:p>
      <w:r>
        <w:t>Cyber Essentials uses a verified self-assessment. Cyber Essentials Plus assesses the same five control areas but adds independent technical testing. PurpleWASP supports preparation, evidence and technical-assurance workflow management; it does not issue the authoritative certificate.</w:t>
      </w:r>
    </w:p>
    <w:p>
      <w:pPr>
        <w:pStyle w:val="Heading1"/>
      </w:pPr>
      <w:r>
        <w:t>2. Understand scope before controls</w:t>
      </w:r>
    </w:p>
    <w:p>
      <w:r>
        <w:t>Scope is the foundation of the assessment. Inventory the legal entities, networks, devices, servers, cloud services, user devices, routers/firewalls and software used to access or process organisational data/services. Under the current requirements, cloud services storing or processing organisational data cannot simply be excluded from scope.</w:t>
      </w:r>
    </w:p>
    <w:p>
      <w:pPr>
        <w:pStyle w:val="ListBullet"/>
      </w:pPr>
      <w:r>
        <w:t>Decide whether the assessment covers the whole organisation or a justified subset.</w:t>
      </w:r>
    </w:p>
    <w:p>
      <w:pPr>
        <w:pStyle w:val="ListBullet"/>
      </w:pPr>
      <w:r>
        <w:t>For partial scope, document what is excluded, why, and how excluded networks are segregated from in-scope systems.</w:t>
      </w:r>
    </w:p>
    <w:p>
      <w:pPr>
        <w:pStyle w:val="ListBullet"/>
      </w:pPr>
      <w:r>
        <w:t>Include internet-connected devices that can accept inbound connections, establish outbound internet connections, or control traffic between in-scope devices and the internet.</w:t>
      </w:r>
    </w:p>
    <w:p>
      <w:pPr>
        <w:pStyle w:val="ListBullet"/>
      </w:pPr>
      <w:r>
        <w:t>Include relevant BYOD where it accesses organisational data/services, subject to the scheme’s stated exclusions.</w:t>
      </w:r>
    </w:p>
    <w:p>
      <w:pPr>
        <w:pStyle w:val="ListBullet"/>
      </w:pPr>
      <w:r>
        <w:t>Record all legal entities included in the scope and keep scope wording precise enough for certification review.</w:t>
      </w:r>
    </w:p>
    <w:p>
      <w:pPr>
        <w:pStyle w:val="Heading1"/>
      </w:pPr>
      <w:r>
        <w:t>3. Build the implementation team</w:t>
      </w:r>
    </w:p>
    <w:tbl>
      <w:tblPr>
        <w:tblStyle w:val="TableGrid"/>
        <w:tblW w:type="auto" w:w="0"/>
        <w:jc w:val="center"/>
        <w:tblLook w:firstColumn="1" w:firstRow="1" w:lastColumn="0" w:lastRow="0" w:noHBand="0" w:noVBand="1" w:val="04A0"/>
      </w:tblPr>
      <w:tblGrid>
        <w:gridCol w:w="4939"/>
        <w:gridCol w:w="4939"/>
      </w:tblGrid>
      <w:tr>
        <w:tc>
          <w:tcPr>
            <w:tcW w:type="dxa" w:w="4939"/>
            <w:shd w:fill="4B0983"/>
            <w:vAlign w:val="center"/>
            <w:tcMar>
              <w:top w:w="80" w:type="dxa"/>
              <w:start w:w="100" w:type="dxa"/>
              <w:bottom w:w="80" w:type="dxa"/>
              <w:end w:w="100" w:type="dxa"/>
            </w:tcMar>
          </w:tcPr>
          <w:p>
            <w:r>
              <w:rPr>
                <w:b/>
                <w:color w:val="FFFFFF"/>
              </w:rPr>
              <w:t>Role</w:t>
            </w:r>
          </w:p>
        </w:tc>
        <w:tc>
          <w:tcPr>
            <w:tcW w:type="dxa" w:w="4939"/>
            <w:shd w:fill="4B0983"/>
            <w:vAlign w:val="center"/>
            <w:tcMar>
              <w:top w:w="80" w:type="dxa"/>
              <w:start w:w="100" w:type="dxa"/>
              <w:bottom w:w="80" w:type="dxa"/>
              <w:end w:w="100" w:type="dxa"/>
            </w:tcMar>
          </w:tcPr>
          <w:p>
            <w:r>
              <w:rPr>
                <w:b/>
                <w:color w:val="FFFFFF"/>
              </w:rPr>
              <w:t>Primary responsibility</w:t>
            </w:r>
          </w:p>
        </w:tc>
      </w:tr>
      <w:tr>
        <w:tc>
          <w:tcPr>
            <w:tcW w:type="dxa" w:w="4939"/>
            <w:tcMar>
              <w:top w:w="80" w:type="dxa"/>
              <w:start w:w="100" w:type="dxa"/>
              <w:bottom w:w="80" w:type="dxa"/>
              <w:end w:w="100" w:type="dxa"/>
            </w:tcMar>
            <w:vAlign w:val="top"/>
          </w:tcPr>
          <w:p>
            <w:r>
              <w:t>Executive/board signatory</w:t>
            </w:r>
          </w:p>
        </w:tc>
        <w:tc>
          <w:tcPr>
            <w:tcW w:type="dxa" w:w="4939"/>
            <w:tcMar>
              <w:top w:w="80" w:type="dxa"/>
              <w:start w:w="100" w:type="dxa"/>
              <w:bottom w:w="80" w:type="dxa"/>
              <w:end w:w="100" w:type="dxa"/>
            </w:tcMar>
            <w:vAlign w:val="top"/>
          </w:tcPr>
          <w:p>
            <w:r>
              <w:t>Own the management declaration and confirm the self-assessment is accurate.</w:t>
            </w:r>
          </w:p>
        </w:tc>
      </w:tr>
      <w:tr>
        <w:tc>
          <w:tcPr>
            <w:tcW w:type="dxa" w:w="4939"/>
            <w:tcMar>
              <w:top w:w="80" w:type="dxa"/>
              <w:start w:w="100" w:type="dxa"/>
              <w:bottom w:w="80" w:type="dxa"/>
              <w:end w:w="100" w:type="dxa"/>
            </w:tcMar>
            <w:vAlign w:val="top"/>
          </w:tcPr>
          <w:p>
            <w:r>
              <w:t>CE programme lead</w:t>
            </w:r>
          </w:p>
        </w:tc>
        <w:tc>
          <w:tcPr>
            <w:tcW w:type="dxa" w:w="4939"/>
            <w:tcMar>
              <w:top w:w="80" w:type="dxa"/>
              <w:start w:w="100" w:type="dxa"/>
              <w:bottom w:w="80" w:type="dxa"/>
              <w:end w:w="100" w:type="dxa"/>
            </w:tcMar>
            <w:vAlign w:val="top"/>
          </w:tcPr>
          <w:p>
            <w:r>
              <w:t>Coordinate scope, questionnaire, remediation and certification liaison.</w:t>
            </w:r>
          </w:p>
        </w:tc>
      </w:tr>
      <w:tr>
        <w:tc>
          <w:tcPr>
            <w:tcW w:type="dxa" w:w="4939"/>
            <w:tcMar>
              <w:top w:w="80" w:type="dxa"/>
              <w:start w:w="100" w:type="dxa"/>
              <w:bottom w:w="80" w:type="dxa"/>
              <w:end w:w="100" w:type="dxa"/>
            </w:tcMar>
            <w:vAlign w:val="top"/>
          </w:tcPr>
          <w:p>
            <w:r>
              <w:t>IT/network owner</w:t>
            </w:r>
          </w:p>
        </w:tc>
        <w:tc>
          <w:tcPr>
            <w:tcW w:type="dxa" w:w="4939"/>
            <w:tcMar>
              <w:top w:w="80" w:type="dxa"/>
              <w:start w:w="100" w:type="dxa"/>
              <w:bottom w:w="80" w:type="dxa"/>
              <w:end w:w="100" w:type="dxa"/>
            </w:tcMar>
            <w:vAlign w:val="top"/>
          </w:tcPr>
          <w:p>
            <w:r>
              <w:t>Firewalls, routers, secure configuration and inventory.</w:t>
            </w:r>
          </w:p>
        </w:tc>
      </w:tr>
      <w:tr>
        <w:tc>
          <w:tcPr>
            <w:tcW w:type="dxa" w:w="4939"/>
            <w:tcMar>
              <w:top w:w="80" w:type="dxa"/>
              <w:start w:w="100" w:type="dxa"/>
              <w:bottom w:w="80" w:type="dxa"/>
              <w:end w:w="100" w:type="dxa"/>
            </w:tcMar>
            <w:vAlign w:val="top"/>
          </w:tcPr>
          <w:p>
            <w:r>
              <w:t>Endpoint/cloud administrators</w:t>
            </w:r>
          </w:p>
        </w:tc>
        <w:tc>
          <w:tcPr>
            <w:tcW w:type="dxa" w:w="4939"/>
            <w:tcMar>
              <w:top w:w="80" w:type="dxa"/>
              <w:start w:w="100" w:type="dxa"/>
              <w:bottom w:w="80" w:type="dxa"/>
              <w:end w:w="100" w:type="dxa"/>
            </w:tcMar>
            <w:vAlign w:val="top"/>
          </w:tcPr>
          <w:p>
            <w:r>
              <w:t>Updates, malware protection, access configuration, MFA and device posture.</w:t>
            </w:r>
          </w:p>
        </w:tc>
      </w:tr>
      <w:tr>
        <w:tc>
          <w:tcPr>
            <w:tcW w:type="dxa" w:w="4939"/>
            <w:tcMar>
              <w:top w:w="80" w:type="dxa"/>
              <w:start w:w="100" w:type="dxa"/>
              <w:bottom w:w="80" w:type="dxa"/>
              <w:end w:w="100" w:type="dxa"/>
            </w:tcMar>
            <w:vAlign w:val="top"/>
          </w:tcPr>
          <w:p>
            <w:r>
              <w:t>Identity/access owner</w:t>
            </w:r>
          </w:p>
        </w:tc>
        <w:tc>
          <w:tcPr>
            <w:tcW w:type="dxa" w:w="4939"/>
            <w:tcMar>
              <w:top w:w="80" w:type="dxa"/>
              <w:start w:w="100" w:type="dxa"/>
              <w:bottom w:w="80" w:type="dxa"/>
              <w:end w:w="100" w:type="dxa"/>
            </w:tcMar>
            <w:vAlign w:val="top"/>
          </w:tcPr>
          <w:p>
            <w:r>
              <w:t>Accounts, privileges, MFA/passwordless/password controls and leaver access.</w:t>
            </w:r>
          </w:p>
        </w:tc>
      </w:tr>
      <w:tr>
        <w:tc>
          <w:tcPr>
            <w:tcW w:type="dxa" w:w="4939"/>
            <w:tcMar>
              <w:top w:w="80" w:type="dxa"/>
              <w:start w:w="100" w:type="dxa"/>
              <w:bottom w:w="80" w:type="dxa"/>
              <w:end w:w="100" w:type="dxa"/>
            </w:tcMar>
            <w:vAlign w:val="top"/>
          </w:tcPr>
          <w:p>
            <w:r>
              <w:t>Cyber Essentials assessor / Certification Body</w:t>
            </w:r>
          </w:p>
        </w:tc>
        <w:tc>
          <w:tcPr>
            <w:tcW w:type="dxa" w:w="4939"/>
            <w:tcMar>
              <w:top w:w="80" w:type="dxa"/>
              <w:start w:w="100" w:type="dxa"/>
              <w:bottom w:w="80" w:type="dxa"/>
              <w:end w:w="100" w:type="dxa"/>
            </w:tcMar>
            <w:vAlign w:val="top"/>
          </w:tcPr>
          <w:p>
            <w:r>
              <w:t>Independently reviews the self-assessment; for Plus, performs/controls technical testing.</w:t>
            </w:r>
          </w:p>
        </w:tc>
      </w:tr>
    </w:tbl>
    <w:p/>
    <w:p>
      <w:pPr>
        <w:pStyle w:val="Heading1"/>
      </w:pPr>
      <w:r>
        <w:t>4. Implement the five technical controls</w:t>
      </w:r>
    </w:p>
    <w:p>
      <w:pPr>
        <w:pStyle w:val="Heading2"/>
      </w:pPr>
      <w:r>
        <w:t>4.1 Firewalls</w:t>
      </w:r>
    </w:p>
    <w:p>
      <w:pPr>
        <w:pStyle w:val="ListBullet"/>
      </w:pPr>
      <w:r>
        <w:t>Identify every internet boundary and host firewall arrangement in scope.</w:t>
      </w:r>
    </w:p>
    <w:p>
      <w:pPr>
        <w:pStyle w:val="ListBullet"/>
      </w:pPr>
      <w:r>
        <w:t>Remove unnecessary inbound services/rules and restrict administrative interfaces.</w:t>
      </w:r>
    </w:p>
    <w:p>
      <w:pPr>
        <w:pStyle w:val="ListBullet"/>
      </w:pPr>
      <w:r>
        <w:t>Change default credentials and secure management access.</w:t>
      </w:r>
    </w:p>
    <w:p>
      <w:pPr>
        <w:pStyle w:val="ListBullet"/>
      </w:pPr>
      <w:r>
        <w:t>Review rules regularly and maintain evidence of approved exceptions.</w:t>
      </w:r>
    </w:p>
    <w:p>
      <w:pPr>
        <w:pStyle w:val="Heading2"/>
      </w:pPr>
      <w:r>
        <w:t>4.2 Secure Configuration</w:t>
      </w:r>
    </w:p>
    <w:p>
      <w:pPr>
        <w:pStyle w:val="ListBullet"/>
      </w:pPr>
      <w:r>
        <w:t>Remove/disable unnecessary accounts, software, services and auto-run features.</w:t>
      </w:r>
    </w:p>
    <w:p>
      <w:pPr>
        <w:pStyle w:val="ListBullet"/>
      </w:pPr>
      <w:r>
        <w:t>Change default/guessable passwords and ensure users authenticate before accessing organisational data/services.</w:t>
      </w:r>
    </w:p>
    <w:p>
      <w:pPr>
        <w:pStyle w:val="ListBullet"/>
      </w:pPr>
      <w:r>
        <w:t>Apply secure screen/device locking for physically present users.</w:t>
      </w:r>
    </w:p>
    <w:p>
      <w:pPr>
        <w:pStyle w:val="ListBullet"/>
      </w:pPr>
      <w:r>
        <w:t>Use a controlled baseline/build where possible and track deviations.</w:t>
      </w:r>
    </w:p>
    <w:p>
      <w:pPr>
        <w:pStyle w:val="Heading2"/>
      </w:pPr>
      <w:r>
        <w:t>4.3 Security Update Management</w:t>
      </w:r>
    </w:p>
    <w:p>
      <w:pPr>
        <w:pStyle w:val="ListBullet"/>
      </w:pPr>
      <w:r>
        <w:t>Maintain an accurate inventory of operating systems, applications, firmware and relevant extensions/files.</w:t>
      </w:r>
    </w:p>
    <w:p>
      <w:pPr>
        <w:pStyle w:val="ListBullet"/>
      </w:pPr>
      <w:r>
        <w:t>Use supported software; remove or isolate unsupported products.</w:t>
      </w:r>
    </w:p>
    <w:p>
      <w:pPr>
        <w:pStyle w:val="ListBullet"/>
      </w:pPr>
      <w:r>
        <w:t>Apply high-risk/critical security updates and vendor vulnerability fixes within the current scheme timeframe.</w:t>
      </w:r>
    </w:p>
    <w:p>
      <w:pPr>
        <w:pStyle w:val="ListBullet"/>
      </w:pPr>
      <w:r>
        <w:t>For the 2026 scheme, failure to meet the designated critical update questions can cause automatic assessment failure; treat 14-day high-risk/critical update compliance as a hard operational requirement.</w:t>
      </w:r>
    </w:p>
    <w:p>
      <w:pPr>
        <w:pStyle w:val="Heading2"/>
      </w:pPr>
      <w:r>
        <w:t>4.4 User Access Control</w:t>
      </w:r>
    </w:p>
    <w:p>
      <w:pPr>
        <w:pStyle w:val="ListBullet"/>
      </w:pPr>
      <w:r>
        <w:t>Give each user the minimum access needed; tightly control administrative privileges.</w:t>
      </w:r>
    </w:p>
    <w:p>
      <w:pPr>
        <w:pStyle w:val="ListBullet"/>
      </w:pPr>
      <w:r>
        <w:t>Remove or disable accounts promptly when no longer required.</w:t>
      </w:r>
    </w:p>
    <w:p>
      <w:pPr>
        <w:pStyle w:val="ListBullet"/>
      </w:pPr>
      <w:r>
        <w:t>Use MFA for cloud services wherever it is available; under the 2026 marking changes, failing to implement available cloud MFA is an automatic-fail condition.</w:t>
      </w:r>
    </w:p>
    <w:p>
      <w:pPr>
        <w:pStyle w:val="ListBullet"/>
      </w:pPr>
      <w:r>
        <w:t>Use strong password or approved passwordless authentication and protect privilege elevation.</w:t>
      </w:r>
    </w:p>
    <w:p>
      <w:pPr>
        <w:pStyle w:val="ListBullet"/>
      </w:pPr>
      <w:r>
        <w:t>Periodically review privileged and user accounts.</w:t>
      </w:r>
    </w:p>
    <w:p>
      <w:pPr>
        <w:pStyle w:val="Heading2"/>
      </w:pPr>
      <w:r>
        <w:t>4.5 Malware Protection</w:t>
      </w:r>
    </w:p>
    <w:p>
      <w:pPr>
        <w:pStyle w:val="ListBullet"/>
      </w:pPr>
      <w:r>
        <w:t>Ensure every in-scope device uses an active malware-protection approach appropriate to the platform.</w:t>
      </w:r>
    </w:p>
    <w:p>
      <w:pPr>
        <w:pStyle w:val="ListBullet"/>
      </w:pPr>
      <w:r>
        <w:t>Keep malware-protection capability current and correctly configured.</w:t>
      </w:r>
    </w:p>
    <w:p>
      <w:pPr>
        <w:pStyle w:val="ListBullet"/>
      </w:pPr>
      <w:r>
        <w:t>Where application allow-listing/code-signing or sandboxing is used, document how untrusted software is prevented from executing.</w:t>
      </w:r>
    </w:p>
    <w:p>
      <w:pPr>
        <w:pStyle w:val="ListBullet"/>
      </w:pPr>
      <w:r>
        <w:t>Monitor exceptions and coverage gaps across servers, endpoints and relevant cloud environments.</w:t>
      </w:r>
    </w:p>
    <w:p>
      <w:pPr>
        <w:pStyle w:val="Heading1"/>
      </w:pPr>
      <w:r>
        <w:t>5. Prepare the Danzell questionnaire</w:t>
      </w:r>
    </w:p>
    <w:p>
      <w:r>
        <w:t>Do not answer from policy intent. Answer from the actual environment in scope. Gather technical inventories, configuration evidence, update metrics, MFA coverage, account/privilege data and malware-protection state before completing the assessment.</w:t>
      </w:r>
    </w:p>
    <w:p>
      <w:pPr>
        <w:pStyle w:val="ListBullet"/>
      </w:pPr>
      <w:r>
        <w:t>Complete scope/legal-entity questions first.</w:t>
      </w:r>
    </w:p>
    <w:p>
      <w:pPr>
        <w:pStyle w:val="ListBullet"/>
      </w:pPr>
      <w:r>
        <w:t>Work section-by-section and preserve explanatory notes for narrative answers.</w:t>
      </w:r>
    </w:p>
    <w:p>
      <w:pPr>
        <w:pStyle w:val="ListBullet"/>
      </w:pPr>
      <w:r>
        <w:t>Treat automatic-fail questions as immediate remediation items, not paperwork problems.</w:t>
      </w:r>
    </w:p>
    <w:p>
      <w:pPr>
        <w:pStyle w:val="ListBullet"/>
      </w:pPr>
      <w:r>
        <w:t>Resolve conditional questions only when their gateway condition applies.</w:t>
      </w:r>
    </w:p>
    <w:p>
      <w:pPr>
        <w:pStyle w:val="ListBullet"/>
      </w:pPr>
      <w:r>
        <w:t>Have the board member/equivalent review the final answers before declaration.</w:t>
      </w:r>
    </w:p>
    <w:p>
      <w:pPr>
        <w:pStyle w:val="Heading1"/>
      </w:pPr>
      <w:r>
        <w:t>6. Use PurpleWASP for Cyber Essentials</w:t>
      </w:r>
    </w:p>
    <w:p>
      <w:pPr>
        <w:jc w:val="center"/>
      </w:pPr>
      <w:r>
        <w:rPr>
          <w:b/>
          <w:color w:val="4B0983"/>
        </w:rPr>
        <w:t>Scope</w:t>
      </w:r>
      <w:r>
        <w:t xml:space="preserve">  →  </w:t>
      </w:r>
      <w:r>
        <w:rPr>
          <w:b/>
          <w:color w:val="2E203C"/>
        </w:rPr>
        <w:t>Danzell Questionnaire</w:t>
      </w:r>
      <w:r>
        <w:t xml:space="preserve">  →  </w:t>
      </w:r>
      <w:r>
        <w:rPr>
          <w:b/>
          <w:color w:val="4B0983"/>
        </w:rPr>
        <w:t>Five Technical Workspaces</w:t>
      </w:r>
      <w:r>
        <w:t xml:space="preserve">  →  </w:t>
      </w:r>
      <w:r>
        <w:rPr>
          <w:b/>
          <w:color w:val="2E203C"/>
        </w:rPr>
        <w:t>Readiness / Remediation</w:t>
      </w:r>
      <w:r>
        <w:t xml:space="preserve">  →  </w:t>
      </w:r>
      <w:r>
        <w:rPr>
          <w:b/>
          <w:color w:val="4B0983"/>
        </w:rPr>
        <w:t>Declaration / Submission</w:t>
      </w:r>
      <w:r>
        <w:t xml:space="preserve">  →  </w:t>
      </w:r>
      <w:r>
        <w:rPr>
          <w:b/>
          <w:color w:val="2E203C"/>
        </w:rPr>
        <w:t>Certificate / Renewal</w:t>
      </w:r>
    </w:p>
    <w:p/>
    <w:tbl>
      <w:tblPr>
        <w:tblStyle w:val="TableGrid"/>
        <w:tblW w:type="auto" w:w="0"/>
        <w:jc w:val="center"/>
        <w:tblLook w:firstColumn="1" w:firstRow="1" w:lastColumn="0" w:lastRow="0" w:noHBand="0" w:noVBand="1" w:val="04A0"/>
      </w:tblPr>
      <w:tblGrid>
        <w:gridCol w:w="4939"/>
        <w:gridCol w:w="4939"/>
      </w:tblGrid>
      <w:tr>
        <w:tc>
          <w:tcPr>
            <w:tcW w:type="dxa" w:w="4939"/>
            <w:shd w:fill="4B0983"/>
            <w:vAlign w:val="center"/>
            <w:tcMar>
              <w:top w:w="80" w:type="dxa"/>
              <w:start w:w="100" w:type="dxa"/>
              <w:bottom w:w="80" w:type="dxa"/>
              <w:end w:w="100" w:type="dxa"/>
            </w:tcMar>
          </w:tcPr>
          <w:p>
            <w:r>
              <w:rPr>
                <w:b/>
                <w:color w:val="FFFFFF"/>
              </w:rPr>
              <w:t>Workspace</w:t>
            </w:r>
          </w:p>
        </w:tc>
        <w:tc>
          <w:tcPr>
            <w:tcW w:type="dxa" w:w="4939"/>
            <w:shd w:fill="4B0983"/>
            <w:vAlign w:val="center"/>
            <w:tcMar>
              <w:top w:w="80" w:type="dxa"/>
              <w:start w:w="100" w:type="dxa"/>
              <w:bottom w:w="80" w:type="dxa"/>
              <w:end w:w="100" w:type="dxa"/>
            </w:tcMar>
          </w:tcPr>
          <w:p>
            <w:r>
              <w:rPr>
                <w:b/>
                <w:color w:val="FFFFFF"/>
              </w:rPr>
              <w:t>Purpose</w:t>
            </w:r>
          </w:p>
        </w:tc>
      </w:tr>
      <w:tr>
        <w:tc>
          <w:tcPr>
            <w:tcW w:type="dxa" w:w="4939"/>
            <w:tcMar>
              <w:top w:w="80" w:type="dxa"/>
              <w:start w:w="100" w:type="dxa"/>
              <w:bottom w:w="80" w:type="dxa"/>
              <w:end w:w="100" w:type="dxa"/>
            </w:tcMar>
            <w:vAlign w:val="top"/>
          </w:tcPr>
          <w:p>
            <w:r>
              <w:t>CE Dashboard</w:t>
            </w:r>
          </w:p>
        </w:tc>
        <w:tc>
          <w:tcPr>
            <w:tcW w:type="dxa" w:w="4939"/>
            <w:tcMar>
              <w:top w:w="80" w:type="dxa"/>
              <w:start w:w="100" w:type="dxa"/>
              <w:bottom w:w="80" w:type="dxa"/>
              <w:end w:w="100" w:type="dxa"/>
            </w:tcMar>
            <w:vAlign w:val="top"/>
          </w:tcPr>
          <w:p>
            <w:r>
              <w:t>Assessment overview and readiness drivers.</w:t>
            </w:r>
          </w:p>
        </w:tc>
      </w:tr>
      <w:tr>
        <w:tc>
          <w:tcPr>
            <w:tcW w:type="dxa" w:w="4939"/>
            <w:tcMar>
              <w:top w:w="80" w:type="dxa"/>
              <w:start w:w="100" w:type="dxa"/>
              <w:bottom w:w="80" w:type="dxa"/>
              <w:end w:w="100" w:type="dxa"/>
            </w:tcMar>
            <w:vAlign w:val="top"/>
          </w:tcPr>
          <w:p>
            <w:r>
              <w:t>Scope</w:t>
            </w:r>
          </w:p>
        </w:tc>
        <w:tc>
          <w:tcPr>
            <w:tcW w:type="dxa" w:w="4939"/>
            <w:tcMar>
              <w:top w:w="80" w:type="dxa"/>
              <w:start w:w="100" w:type="dxa"/>
              <w:bottom w:w="80" w:type="dxa"/>
              <w:end w:w="100" w:type="dxa"/>
            </w:tcMar>
            <w:vAlign w:val="top"/>
          </w:tcPr>
          <w:p>
            <w:r>
              <w:t>Define assessment boundary before downstream results are relied on.</w:t>
            </w:r>
          </w:p>
        </w:tc>
      </w:tr>
      <w:tr>
        <w:tc>
          <w:tcPr>
            <w:tcW w:type="dxa" w:w="4939"/>
            <w:tcMar>
              <w:top w:w="80" w:type="dxa"/>
              <w:start w:w="100" w:type="dxa"/>
              <w:bottom w:w="80" w:type="dxa"/>
              <w:end w:w="100" w:type="dxa"/>
            </w:tcMar>
            <w:vAlign w:val="top"/>
          </w:tcPr>
          <w:p>
            <w:r>
              <w:t>Danzell Questionnaire</w:t>
            </w:r>
          </w:p>
        </w:tc>
        <w:tc>
          <w:tcPr>
            <w:tcW w:type="dxa" w:w="4939"/>
            <w:tcMar>
              <w:top w:w="80" w:type="dxa"/>
              <w:start w:w="100" w:type="dxa"/>
              <w:bottom w:w="80" w:type="dxa"/>
              <w:end w:w="100" w:type="dxa"/>
            </w:tcMar>
            <w:vAlign w:val="top"/>
          </w:tcPr>
          <w:p>
            <w:r>
              <w:t>Record the current question set, conditional logic and completion.</w:t>
            </w:r>
          </w:p>
        </w:tc>
      </w:tr>
      <w:tr>
        <w:tc>
          <w:tcPr>
            <w:tcW w:type="dxa" w:w="4939"/>
            <w:tcMar>
              <w:top w:w="80" w:type="dxa"/>
              <w:start w:w="100" w:type="dxa"/>
              <w:bottom w:w="80" w:type="dxa"/>
              <w:end w:w="100" w:type="dxa"/>
            </w:tcMar>
            <w:vAlign w:val="top"/>
          </w:tcPr>
          <w:p>
            <w:r>
              <w:t>Five technical workspaces</w:t>
            </w:r>
          </w:p>
        </w:tc>
        <w:tc>
          <w:tcPr>
            <w:tcW w:type="dxa" w:w="4939"/>
            <w:tcMar>
              <w:top w:w="80" w:type="dxa"/>
              <w:start w:w="100" w:type="dxa"/>
              <w:bottom w:w="80" w:type="dxa"/>
              <w:end w:w="100" w:type="dxa"/>
            </w:tcMar>
            <w:vAlign w:val="top"/>
          </w:tcPr>
          <w:p>
            <w:r>
              <w:t>Work the implementation detail for each control area.</w:t>
            </w:r>
          </w:p>
        </w:tc>
      </w:tr>
      <w:tr>
        <w:tc>
          <w:tcPr>
            <w:tcW w:type="dxa" w:w="4939"/>
            <w:tcMar>
              <w:top w:w="80" w:type="dxa"/>
              <w:start w:w="100" w:type="dxa"/>
              <w:bottom w:w="80" w:type="dxa"/>
              <w:end w:w="100" w:type="dxa"/>
            </w:tcMar>
            <w:vAlign w:val="top"/>
          </w:tcPr>
          <w:p>
            <w:r>
              <w:t>Controls &amp; Evidence</w:t>
            </w:r>
          </w:p>
        </w:tc>
        <w:tc>
          <w:tcPr>
            <w:tcW w:type="dxa" w:w="4939"/>
            <w:tcMar>
              <w:top w:w="80" w:type="dxa"/>
              <w:start w:w="100" w:type="dxa"/>
              <w:bottom w:w="80" w:type="dxa"/>
              <w:end w:w="100" w:type="dxa"/>
            </w:tcMar>
            <w:vAlign w:val="top"/>
          </w:tcPr>
          <w:p>
            <w:r>
              <w:t>Reuse organisation Controls/evidence rather than duplicating records.</w:t>
            </w:r>
          </w:p>
        </w:tc>
      </w:tr>
      <w:tr>
        <w:tc>
          <w:tcPr>
            <w:tcW w:type="dxa" w:w="4939"/>
            <w:tcMar>
              <w:top w:w="80" w:type="dxa"/>
              <w:start w:w="100" w:type="dxa"/>
              <w:bottom w:w="80" w:type="dxa"/>
              <w:end w:w="100" w:type="dxa"/>
            </w:tcMar>
            <w:vAlign w:val="top"/>
          </w:tcPr>
          <w:p>
            <w:r>
              <w:t>Remediation</w:t>
            </w:r>
          </w:p>
        </w:tc>
        <w:tc>
          <w:tcPr>
            <w:tcW w:type="dxa" w:w="4939"/>
            <w:tcMar>
              <w:top w:w="80" w:type="dxa"/>
              <w:start w:w="100" w:type="dxa"/>
              <w:bottom w:w="80" w:type="dxa"/>
              <w:end w:w="100" w:type="dxa"/>
            </w:tcMar>
            <w:vAlign w:val="top"/>
          </w:tcPr>
          <w:p>
            <w:r>
              <w:t>Consolidate outstanding gaps and actions.</w:t>
            </w:r>
          </w:p>
        </w:tc>
      </w:tr>
      <w:tr>
        <w:tc>
          <w:tcPr>
            <w:tcW w:type="dxa" w:w="4939"/>
            <w:tcMar>
              <w:top w:w="80" w:type="dxa"/>
              <w:start w:w="100" w:type="dxa"/>
              <w:bottom w:w="80" w:type="dxa"/>
              <w:end w:w="100" w:type="dxa"/>
            </w:tcMar>
            <w:vAlign w:val="top"/>
          </w:tcPr>
          <w:p>
            <w:r>
              <w:t>Readiness Review</w:t>
            </w:r>
          </w:p>
        </w:tc>
        <w:tc>
          <w:tcPr>
            <w:tcW w:type="dxa" w:w="4939"/>
            <w:tcMar>
              <w:top w:w="80" w:type="dxa"/>
              <w:start w:w="100" w:type="dxa"/>
              <w:bottom w:w="80" w:type="dxa"/>
              <w:end w:w="100" w:type="dxa"/>
            </w:tcMar>
            <w:vAlign w:val="top"/>
          </w:tcPr>
          <w:p>
            <w:r>
              <w:t>Review evaluated gaps and human-review items.</w:t>
            </w:r>
          </w:p>
        </w:tc>
      </w:tr>
      <w:tr>
        <w:tc>
          <w:tcPr>
            <w:tcW w:type="dxa" w:w="4939"/>
            <w:tcMar>
              <w:top w:w="80" w:type="dxa"/>
              <w:start w:w="100" w:type="dxa"/>
              <w:bottom w:w="80" w:type="dxa"/>
              <w:end w:w="100" w:type="dxa"/>
            </w:tcMar>
            <w:vAlign w:val="top"/>
          </w:tcPr>
          <w:p>
            <w:r>
              <w:t>Management Declaration</w:t>
            </w:r>
          </w:p>
        </w:tc>
        <w:tc>
          <w:tcPr>
            <w:tcW w:type="dxa" w:w="4939"/>
            <w:tcMar>
              <w:top w:w="80" w:type="dxa"/>
              <w:start w:w="100" w:type="dxa"/>
              <w:bottom w:w="80" w:type="dxa"/>
              <w:end w:w="100" w:type="dxa"/>
            </w:tcMar>
            <w:vAlign w:val="top"/>
          </w:tcPr>
          <w:p>
            <w:r>
              <w:t>Record organisation-side declaration.</w:t>
            </w:r>
          </w:p>
        </w:tc>
      </w:tr>
      <w:tr>
        <w:tc>
          <w:tcPr>
            <w:tcW w:type="dxa" w:w="4939"/>
            <w:tcMar>
              <w:top w:w="80" w:type="dxa"/>
              <w:start w:w="100" w:type="dxa"/>
              <w:bottom w:w="80" w:type="dxa"/>
              <w:end w:w="100" w:type="dxa"/>
            </w:tcMar>
            <w:vAlign w:val="top"/>
          </w:tcPr>
          <w:p>
            <w:r>
              <w:t>Submission Review</w:t>
            </w:r>
          </w:p>
        </w:tc>
        <w:tc>
          <w:tcPr>
            <w:tcW w:type="dxa" w:w="4939"/>
            <w:tcMar>
              <w:top w:w="80" w:type="dxa"/>
              <w:start w:w="100" w:type="dxa"/>
              <w:bottom w:w="80" w:type="dxa"/>
              <w:end w:w="100" w:type="dxa"/>
            </w:tcMar>
            <w:vAlign w:val="top"/>
          </w:tcPr>
          <w:p>
            <w:r>
              <w:t>Perform pre-submission completeness/quality check.</w:t>
            </w:r>
          </w:p>
        </w:tc>
      </w:tr>
      <w:tr>
        <w:tc>
          <w:tcPr>
            <w:tcW w:type="dxa" w:w="4939"/>
            <w:tcMar>
              <w:top w:w="80" w:type="dxa"/>
              <w:start w:w="100" w:type="dxa"/>
              <w:bottom w:w="80" w:type="dxa"/>
              <w:end w:w="100" w:type="dxa"/>
            </w:tcMar>
            <w:vAlign w:val="top"/>
          </w:tcPr>
          <w:p>
            <w:r>
              <w:t>Certificate &amp; Renewal</w:t>
            </w:r>
          </w:p>
        </w:tc>
        <w:tc>
          <w:tcPr>
            <w:tcW w:type="dxa" w:w="4939"/>
            <w:tcMar>
              <w:top w:w="80" w:type="dxa"/>
              <w:start w:w="100" w:type="dxa"/>
              <w:bottom w:w="80" w:type="dxa"/>
              <w:end w:w="100" w:type="dxa"/>
            </w:tcMar>
            <w:vAlign w:val="top"/>
          </w:tcPr>
          <w:p>
            <w:r>
              <w:t>Retain certificate and renewal lifecycle information.</w:t>
            </w:r>
          </w:p>
        </w:tc>
      </w:tr>
    </w:tbl>
    <w:p/>
    <w:p>
      <w:pPr>
        <w:pStyle w:val="Heading1"/>
      </w:pPr>
      <w:r>
        <w:t>7. Resolve readiness gaps and submit</w:t>
      </w:r>
    </w:p>
    <w:p>
      <w:r>
        <w:t>PurpleWASP distinguishes questionnaire completion from satisfactory readiness. Resolve unanswered applicable questions, automatic-fail/evaluated gaps and narrative/human-review items. The internal readiness percentage is a management aid; the Certification Body remains authoritative.</w:t>
      </w:r>
    </w:p>
    <w:p>
      <w:pPr>
        <w:pStyle w:val="Heading1"/>
      </w:pPr>
      <w:r>
        <w:t>8. Prepare for Cyber Essentials Plus</w:t>
      </w:r>
    </w:p>
    <w:p>
      <w:r>
        <w:t>Cyber Essentials Plus uses the same five controls but independently tests the environment. IASME currently states that the Plus audit must be completed within three months of the associated Cyber Essentials certification, unless both are completed together. Confirm the current scheme rule with the chosen Certification Body when scheduling.</w:t>
      </w:r>
    </w:p>
    <w:p>
      <w:pPr>
        <w:pStyle w:val="ListBullet"/>
      </w:pPr>
      <w:r>
        <w:t>Freeze/confirm the CE scope and verified self-assessment before Plus testing. Current 2026 scheme updates prohibit changing the VSA based on Plus test results after testing begins.</w:t>
      </w:r>
    </w:p>
    <w:p>
      <w:pPr>
        <w:pStyle w:val="ListBullet"/>
      </w:pPr>
      <w:r>
        <w:t>Confirm sampling populations and asset inventories are accurate.</w:t>
      </w:r>
    </w:p>
    <w:p>
      <w:pPr>
        <w:pStyle w:val="ListBullet"/>
      </w:pPr>
      <w:r>
        <w:t>Ensure security-update compliance applies across the entire scope, not only the sampled devices.</w:t>
      </w:r>
    </w:p>
    <w:p>
      <w:pPr>
        <w:pStyle w:val="ListBullet"/>
      </w:pPr>
      <w:r>
        <w:t>Prepare remote/on-site access needed by the assessor.</w:t>
      </w:r>
    </w:p>
    <w:p>
      <w:pPr>
        <w:pStyle w:val="ListBullet"/>
      </w:pPr>
      <w:r>
        <w:t>Collect evidence without pre-selectively “fixing only the sample”.</w:t>
      </w:r>
    </w:p>
    <w:p>
      <w:pPr>
        <w:pStyle w:val="Heading1"/>
      </w:pPr>
      <w:r>
        <w:t>9. Operate the Plus testing/remediation cycle</w:t>
      </w:r>
    </w:p>
    <w:p>
      <w:pPr>
        <w:jc w:val="center"/>
      </w:pPr>
      <w:r>
        <w:rPr>
          <w:b/>
          <w:color w:val="4B0983"/>
        </w:rPr>
        <w:t>Plus Preflight</w:t>
      </w:r>
      <w:r>
        <w:t xml:space="preserve">  →  </w:t>
      </w:r>
      <w:r>
        <w:rPr>
          <w:b/>
          <w:color w:val="2E203C"/>
        </w:rPr>
        <w:t>Sampling</w:t>
      </w:r>
      <w:r>
        <w:t xml:space="preserve">  →  </w:t>
      </w:r>
      <w:r>
        <w:rPr>
          <w:b/>
          <w:color w:val="4B0983"/>
        </w:rPr>
        <w:t>Technical Testing</w:t>
      </w:r>
      <w:r>
        <w:t xml:space="preserve">  →  </w:t>
      </w:r>
      <w:r>
        <w:rPr>
          <w:b/>
          <w:color w:val="2E203C"/>
        </w:rPr>
        <w:t>Findings / Remediation</w:t>
      </w:r>
      <w:r>
        <w:t xml:space="preserve">  →  </w:t>
      </w:r>
      <w:r>
        <w:rPr>
          <w:b/>
          <w:color w:val="4B0983"/>
        </w:rPr>
        <w:t>Outcome</w:t>
      </w:r>
      <w:r>
        <w:t xml:space="preserve">  →  </w:t>
      </w:r>
      <w:r>
        <w:rPr>
          <w:b/>
          <w:color w:val="2E203C"/>
        </w:rPr>
        <w:t>Assessor Evidence Pack</w:t>
      </w:r>
      <w:r>
        <w:t xml:space="preserve">  →  </w:t>
      </w:r>
      <w:r>
        <w:rPr>
          <w:b/>
          <w:color w:val="4B0983"/>
        </w:rPr>
        <w:t>Plus Certificate</w:t>
      </w:r>
    </w:p>
    <w:p/>
    <w:p>
      <w:r>
        <w:t>Current CE+ testing guidance requires the assessment scope to match the associated Cyber Essentials self-assessment and includes verification of scope, segregation and sampling. The 2026 scheme changes also strengthen retesting for update-management failures by requiring a new random sample after remediation, reducing the risk of selectively updating only tested devices.</w:t>
      </w:r>
    </w:p>
    <w:p>
      <w:pPr>
        <w:pStyle w:val="Heading1"/>
      </w:pPr>
      <w:r>
        <w:t>10. Certification and renewal</w:t>
      </w:r>
    </w:p>
    <w:p>
      <w:pPr>
        <w:pStyle w:val="ListBullet"/>
      </w:pPr>
      <w:r>
        <w:t>Record the authoritative certificate details and scope exactly as issued.</w:t>
      </w:r>
    </w:p>
    <w:p>
      <w:pPr>
        <w:pStyle w:val="ListBullet"/>
      </w:pPr>
      <w:r>
        <w:t>Maintain the operational controls continuously after certification.</w:t>
      </w:r>
    </w:p>
    <w:p>
      <w:pPr>
        <w:pStyle w:val="ListBullet"/>
      </w:pPr>
      <w:r>
        <w:t>Track expiry/renewal early; Cyber Essentials is annually renewable.</w:t>
      </w:r>
    </w:p>
    <w:p>
      <w:pPr>
        <w:pStyle w:val="ListBullet"/>
      </w:pPr>
      <w:r>
        <w:t>Treat material environment changes as triggers to reassess scope and readiness before the next cycle.</w:t>
      </w:r>
    </w:p>
    <w:p>
      <w:pPr>
        <w:pStyle w:val="Heading1"/>
      </w:pPr>
      <w:r>
        <w:t>11. Example implementation roadmap</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4B0983"/>
            <w:vAlign w:val="center"/>
            <w:tcMar>
              <w:top w:w="80" w:type="dxa"/>
              <w:start w:w="100" w:type="dxa"/>
              <w:bottom w:w="80" w:type="dxa"/>
              <w:end w:w="100" w:type="dxa"/>
            </w:tcMar>
          </w:tcPr>
          <w:p>
            <w:r>
              <w:rPr>
                <w:b/>
                <w:color w:val="FFFFFF"/>
              </w:rPr>
              <w:t>Phase</w:t>
            </w:r>
          </w:p>
        </w:tc>
        <w:tc>
          <w:tcPr>
            <w:tcW w:type="dxa" w:w="3293"/>
            <w:shd w:fill="4B0983"/>
            <w:vAlign w:val="center"/>
            <w:tcMar>
              <w:top w:w="80" w:type="dxa"/>
              <w:start w:w="100" w:type="dxa"/>
              <w:bottom w:w="80" w:type="dxa"/>
              <w:end w:w="100" w:type="dxa"/>
            </w:tcMar>
          </w:tcPr>
          <w:p>
            <w:r>
              <w:rPr>
                <w:b/>
                <w:color w:val="FFFFFF"/>
              </w:rPr>
              <w:t>Focus</w:t>
            </w:r>
          </w:p>
        </w:tc>
        <w:tc>
          <w:tcPr>
            <w:tcW w:type="dxa" w:w="3293"/>
            <w:shd w:fill="4B0983"/>
            <w:vAlign w:val="center"/>
            <w:tcMar>
              <w:top w:w="80" w:type="dxa"/>
              <w:start w:w="100" w:type="dxa"/>
              <w:bottom w:w="80" w:type="dxa"/>
              <w:end w:w="100" w:type="dxa"/>
            </w:tcMar>
          </w:tcPr>
          <w:p>
            <w:r>
              <w:rPr>
                <w:b/>
                <w:color w:val="FFFFFF"/>
              </w:rPr>
              <w:t>Exit condition</w:t>
            </w:r>
          </w:p>
        </w:tc>
      </w:tr>
      <w:tr>
        <w:tc>
          <w:tcPr>
            <w:tcW w:type="dxa" w:w="3293"/>
            <w:tcMar>
              <w:top w:w="80" w:type="dxa"/>
              <w:start w:w="100" w:type="dxa"/>
              <w:bottom w:w="80" w:type="dxa"/>
              <w:end w:w="100" w:type="dxa"/>
            </w:tcMar>
            <w:vAlign w:val="top"/>
          </w:tcPr>
          <w:p>
            <w:r>
              <w:t>Week 1</w:t>
            </w:r>
          </w:p>
        </w:tc>
        <w:tc>
          <w:tcPr>
            <w:tcW w:type="dxa" w:w="3293"/>
            <w:tcMar>
              <w:top w:w="80" w:type="dxa"/>
              <w:start w:w="100" w:type="dxa"/>
              <w:bottom w:w="80" w:type="dxa"/>
              <w:end w:w="100" w:type="dxa"/>
            </w:tcMar>
            <w:vAlign w:val="top"/>
          </w:tcPr>
          <w:p>
            <w:r>
              <w:t>Scope, legal entities and inventory</w:t>
            </w:r>
          </w:p>
        </w:tc>
        <w:tc>
          <w:tcPr>
            <w:tcW w:type="dxa" w:w="3293"/>
            <w:tcMar>
              <w:top w:w="80" w:type="dxa"/>
              <w:start w:w="100" w:type="dxa"/>
              <w:bottom w:w="80" w:type="dxa"/>
              <w:end w:w="100" w:type="dxa"/>
            </w:tcMar>
            <w:vAlign w:val="top"/>
          </w:tcPr>
          <w:p>
            <w:r>
              <w:t>Defensible scope and asset/cloud inventory.</w:t>
            </w:r>
          </w:p>
        </w:tc>
      </w:tr>
      <w:tr>
        <w:tc>
          <w:tcPr>
            <w:tcW w:type="dxa" w:w="3293"/>
            <w:tcMar>
              <w:top w:w="80" w:type="dxa"/>
              <w:start w:w="100" w:type="dxa"/>
              <w:bottom w:w="80" w:type="dxa"/>
              <w:end w:w="100" w:type="dxa"/>
            </w:tcMar>
            <w:vAlign w:val="top"/>
          </w:tcPr>
          <w:p>
            <w:r>
              <w:t>Weeks 2–3</w:t>
            </w:r>
          </w:p>
        </w:tc>
        <w:tc>
          <w:tcPr>
            <w:tcW w:type="dxa" w:w="3293"/>
            <w:tcMar>
              <w:top w:w="80" w:type="dxa"/>
              <w:start w:w="100" w:type="dxa"/>
              <w:bottom w:w="80" w:type="dxa"/>
              <w:end w:w="100" w:type="dxa"/>
            </w:tcMar>
            <w:vAlign w:val="top"/>
          </w:tcPr>
          <w:p>
            <w:r>
              <w:t>Five-control baseline</w:t>
            </w:r>
          </w:p>
        </w:tc>
        <w:tc>
          <w:tcPr>
            <w:tcW w:type="dxa" w:w="3293"/>
            <w:tcMar>
              <w:top w:w="80" w:type="dxa"/>
              <w:start w:w="100" w:type="dxa"/>
              <w:bottom w:w="80" w:type="dxa"/>
              <w:end w:w="100" w:type="dxa"/>
            </w:tcMar>
            <w:vAlign w:val="top"/>
          </w:tcPr>
          <w:p>
            <w:r>
              <w:t>Major firewall/config/update/access/malware gaps identified.</w:t>
            </w:r>
          </w:p>
        </w:tc>
      </w:tr>
      <w:tr>
        <w:tc>
          <w:tcPr>
            <w:tcW w:type="dxa" w:w="3293"/>
            <w:tcMar>
              <w:top w:w="80" w:type="dxa"/>
              <w:start w:w="100" w:type="dxa"/>
              <w:bottom w:w="80" w:type="dxa"/>
              <w:end w:w="100" w:type="dxa"/>
            </w:tcMar>
            <w:vAlign w:val="top"/>
          </w:tcPr>
          <w:p>
            <w:r>
              <w:t>Weeks 4–5</w:t>
            </w:r>
          </w:p>
        </w:tc>
        <w:tc>
          <w:tcPr>
            <w:tcW w:type="dxa" w:w="3293"/>
            <w:tcMar>
              <w:top w:w="80" w:type="dxa"/>
              <w:start w:w="100" w:type="dxa"/>
              <w:bottom w:w="80" w:type="dxa"/>
              <w:end w:w="100" w:type="dxa"/>
            </w:tcMar>
            <w:vAlign w:val="top"/>
          </w:tcPr>
          <w:p>
            <w:r>
              <w:t>Remediation</w:t>
            </w:r>
          </w:p>
        </w:tc>
        <w:tc>
          <w:tcPr>
            <w:tcW w:type="dxa" w:w="3293"/>
            <w:tcMar>
              <w:top w:w="80" w:type="dxa"/>
              <w:start w:w="100" w:type="dxa"/>
              <w:bottom w:w="80" w:type="dxa"/>
              <w:end w:w="100" w:type="dxa"/>
            </w:tcMar>
            <w:vAlign w:val="top"/>
          </w:tcPr>
          <w:p>
            <w:r>
              <w:t>MFA, critical updates, unsupported software and high-risk configuration gaps resolved.</w:t>
            </w:r>
          </w:p>
        </w:tc>
      </w:tr>
      <w:tr>
        <w:tc>
          <w:tcPr>
            <w:tcW w:type="dxa" w:w="3293"/>
            <w:tcMar>
              <w:top w:w="80" w:type="dxa"/>
              <w:start w:w="100" w:type="dxa"/>
              <w:bottom w:w="80" w:type="dxa"/>
              <w:end w:w="100" w:type="dxa"/>
            </w:tcMar>
            <w:vAlign w:val="top"/>
          </w:tcPr>
          <w:p>
            <w:r>
              <w:t>Week 6</w:t>
            </w:r>
          </w:p>
        </w:tc>
        <w:tc>
          <w:tcPr>
            <w:tcW w:type="dxa" w:w="3293"/>
            <w:tcMar>
              <w:top w:w="80" w:type="dxa"/>
              <w:start w:w="100" w:type="dxa"/>
              <w:bottom w:w="80" w:type="dxa"/>
              <w:end w:w="100" w:type="dxa"/>
            </w:tcMar>
            <w:vAlign w:val="top"/>
          </w:tcPr>
          <w:p>
            <w:r>
              <w:t>Danzell questionnaire</w:t>
            </w:r>
          </w:p>
        </w:tc>
        <w:tc>
          <w:tcPr>
            <w:tcW w:type="dxa" w:w="3293"/>
            <w:tcMar>
              <w:top w:w="80" w:type="dxa"/>
              <w:start w:w="100" w:type="dxa"/>
              <w:bottom w:w="80" w:type="dxa"/>
              <w:end w:w="100" w:type="dxa"/>
            </w:tcMar>
            <w:vAlign w:val="top"/>
          </w:tcPr>
          <w:p>
            <w:r>
              <w:t>Answers reflect actual state; human-review narratives prepared.</w:t>
            </w:r>
          </w:p>
        </w:tc>
      </w:tr>
      <w:tr>
        <w:tc>
          <w:tcPr>
            <w:tcW w:type="dxa" w:w="3293"/>
            <w:tcMar>
              <w:top w:w="80" w:type="dxa"/>
              <w:start w:w="100" w:type="dxa"/>
              <w:bottom w:w="80" w:type="dxa"/>
              <w:end w:w="100" w:type="dxa"/>
            </w:tcMar>
            <w:vAlign w:val="top"/>
          </w:tcPr>
          <w:p>
            <w:r>
              <w:t>Week 7</w:t>
            </w:r>
          </w:p>
        </w:tc>
        <w:tc>
          <w:tcPr>
            <w:tcW w:type="dxa" w:w="3293"/>
            <w:tcMar>
              <w:top w:w="80" w:type="dxa"/>
              <w:start w:w="100" w:type="dxa"/>
              <w:bottom w:w="80" w:type="dxa"/>
              <w:end w:w="100" w:type="dxa"/>
            </w:tcMar>
            <w:vAlign w:val="top"/>
          </w:tcPr>
          <w:p>
            <w:r>
              <w:t>Management/declaration/submission review</w:t>
            </w:r>
          </w:p>
        </w:tc>
        <w:tc>
          <w:tcPr>
            <w:tcW w:type="dxa" w:w="3293"/>
            <w:tcMar>
              <w:top w:w="80" w:type="dxa"/>
              <w:start w:w="100" w:type="dxa"/>
              <w:bottom w:w="80" w:type="dxa"/>
              <w:end w:w="100" w:type="dxa"/>
            </w:tcMar>
            <w:vAlign w:val="top"/>
          </w:tcPr>
          <w:p>
            <w:r>
              <w:t>Internal blockers resolved and declaration approved.</w:t>
            </w:r>
          </w:p>
        </w:tc>
      </w:tr>
      <w:tr>
        <w:tc>
          <w:tcPr>
            <w:tcW w:type="dxa" w:w="3293"/>
            <w:tcMar>
              <w:top w:w="80" w:type="dxa"/>
              <w:start w:w="100" w:type="dxa"/>
              <w:bottom w:w="80" w:type="dxa"/>
              <w:end w:w="100" w:type="dxa"/>
            </w:tcMar>
            <w:vAlign w:val="top"/>
          </w:tcPr>
          <w:p>
            <w:r>
              <w:t>After CE</w:t>
            </w:r>
          </w:p>
        </w:tc>
        <w:tc>
          <w:tcPr>
            <w:tcW w:type="dxa" w:w="3293"/>
            <w:tcMar>
              <w:top w:w="80" w:type="dxa"/>
              <w:start w:w="100" w:type="dxa"/>
              <w:bottom w:w="80" w:type="dxa"/>
              <w:end w:w="100" w:type="dxa"/>
            </w:tcMar>
            <w:vAlign w:val="top"/>
          </w:tcPr>
          <w:p>
            <w:r>
              <w:t>CE+ preflight/sampling if required</w:t>
            </w:r>
          </w:p>
        </w:tc>
        <w:tc>
          <w:tcPr>
            <w:tcW w:type="dxa" w:w="3293"/>
            <w:tcMar>
              <w:top w:w="80" w:type="dxa"/>
              <w:start w:w="100" w:type="dxa"/>
              <w:bottom w:w="80" w:type="dxa"/>
              <w:end w:w="100" w:type="dxa"/>
            </w:tcMar>
            <w:vAlign w:val="top"/>
          </w:tcPr>
          <w:p>
            <w:r>
              <w:t>Stable scope and auditable technical state ready for independent testing.</w:t>
            </w:r>
          </w:p>
        </w:tc>
      </w:tr>
    </w:tbl>
    <w:p/>
    <w:p>
      <w:pPr>
        <w:pStyle w:val="Heading1"/>
      </w:pPr>
      <w:r>
        <w:t>12. Common failure patterns</w:t>
      </w:r>
    </w:p>
    <w:p>
      <w:pPr>
        <w:pStyle w:val="ListBullet"/>
      </w:pPr>
      <w:r>
        <w:t>Incomplete scope or attempting to exclude cloud services that process organisational data.</w:t>
      </w:r>
    </w:p>
    <w:p>
      <w:pPr>
        <w:pStyle w:val="ListBullet"/>
      </w:pPr>
      <w:r>
        <w:t>MFA available on cloud services but not enabled.</w:t>
      </w:r>
    </w:p>
    <w:p>
      <w:pPr>
        <w:pStyle w:val="ListBullet"/>
      </w:pPr>
      <w:r>
        <w:t>Critical/high-risk updates not applied across all in-scope devices within the required timeframe.</w:t>
      </w:r>
    </w:p>
    <w:p>
      <w:pPr>
        <w:pStyle w:val="ListBullet"/>
      </w:pPr>
      <w:r>
        <w:t>Unsupported software left in production.</w:t>
      </w:r>
    </w:p>
    <w:p>
      <w:pPr>
        <w:pStyle w:val="ListBullet"/>
      </w:pPr>
      <w:r>
        <w:t>Excessive admin privileges or orphaned accounts.</w:t>
      </w:r>
    </w:p>
    <w:p>
      <w:pPr>
        <w:pStyle w:val="ListBullet"/>
      </w:pPr>
      <w:r>
        <w:t>Questionnaire answers based on policy rather than configuration.</w:t>
      </w:r>
    </w:p>
    <w:p>
      <w:pPr>
        <w:pStyle w:val="ListBullet"/>
      </w:pPr>
      <w:r>
        <w:t>For Plus, remediating only devices in the known sample rather than the wider environment.</w:t>
      </w:r>
    </w:p>
    <w:p>
      <w:pPr>
        <w:pStyle w:val="Heading1"/>
      </w:pPr>
      <w:r>
        <w:t>13. Master checklist</w:t>
      </w:r>
    </w:p>
    <w:p>
      <w:pPr>
        <w:pStyle w:val="ListBullet"/>
      </w:pPr>
      <w:r>
        <w:t>Scope, legal entities and exclusions/segregation are documented.</w:t>
      </w:r>
    </w:p>
    <w:p>
      <w:pPr>
        <w:pStyle w:val="ListBullet"/>
      </w:pPr>
      <w:r>
        <w:t>Complete hardware/software/cloud inventory exists.</w:t>
      </w:r>
    </w:p>
    <w:p>
      <w:pPr>
        <w:pStyle w:val="ListBullet"/>
      </w:pPr>
      <w:r>
        <w:t>Firewall/admin interfaces are hardened and unnecessary exposure removed.</w:t>
      </w:r>
    </w:p>
    <w:p>
      <w:pPr>
        <w:pStyle w:val="ListBullet"/>
      </w:pPr>
      <w:r>
        <w:t>Secure configuration baselines are applied.</w:t>
      </w:r>
    </w:p>
    <w:p>
      <w:pPr>
        <w:pStyle w:val="ListBullet"/>
      </w:pPr>
      <w:r>
        <w:t>Supported software is used and critical fixes meet current timing requirements.</w:t>
      </w:r>
    </w:p>
    <w:p>
      <w:pPr>
        <w:pStyle w:val="ListBullet"/>
      </w:pPr>
      <w:r>
        <w:t>Cloud MFA is enabled wherever available.</w:t>
      </w:r>
    </w:p>
    <w:p>
      <w:pPr>
        <w:pStyle w:val="ListBullet"/>
      </w:pPr>
      <w:r>
        <w:t>Accounts/privileges are managed and reviewed.</w:t>
      </w:r>
    </w:p>
    <w:p>
      <w:pPr>
        <w:pStyle w:val="ListBullet"/>
      </w:pPr>
      <w:r>
        <w:t>Malware protection is active on all in-scope devices.</w:t>
      </w:r>
    </w:p>
    <w:p>
      <w:pPr>
        <w:pStyle w:val="ListBullet"/>
      </w:pPr>
      <w:r>
        <w:t>Danzell questionnaire is complete and evidence-based.</w:t>
      </w:r>
    </w:p>
    <w:p>
      <w:pPr>
        <w:pStyle w:val="ListBullet"/>
      </w:pPr>
      <w:r>
        <w:t>Readiness/human-review/automatic-fail items are resolved.</w:t>
      </w:r>
    </w:p>
    <w:p>
      <w:pPr>
        <w:pStyle w:val="ListBullet"/>
      </w:pPr>
      <w:r>
        <w:t>Management declaration and submission review are complete.</w:t>
      </w:r>
    </w:p>
    <w:p>
      <w:pPr>
        <w:pStyle w:val="ListBullet"/>
      </w:pPr>
      <w:r>
        <w:t>For CE+, scope/sample/testing/findings/evidence pack are prepared and authoritative external testing is scheduled.</w:t>
      </w:r>
    </w:p>
    <w:p>
      <w:pPr>
        <w:pStyle w:val="Heading1"/>
      </w:pPr>
      <w:r>
        <w:t>References and source baseline</w:t>
      </w:r>
    </w:p>
    <w:p>
      <w:r>
        <w:t>PurpleWASP product baseline: current resource package, Compliance modules, Control Management integration, and the NIST CSF 2.0 v1 revised database / v2 UI packages supplied for this documentation set.</w:t>
      </w:r>
    </w:p>
    <w:p>
      <w:r>
        <w:rPr>
          <w:b/>
        </w:rPr>
        <w:t xml:space="preserve">1. NCSC — Cyber Essentials overview. </w:t>
      </w:r>
      <w:r>
        <w:t>https://www.ncsc.gov.uk/cyberessentials/overview</w:t>
      </w:r>
    </w:p>
    <w:p>
      <w:r>
        <w:rPr>
          <w:b/>
        </w:rPr>
        <w:t xml:space="preserve">2. NCSC — Cyber Essentials resources and current requirements. </w:t>
      </w:r>
      <w:r>
        <w:t>https://www.ncsc.gov.uk/cyberessentials/resources</w:t>
      </w:r>
    </w:p>
    <w:p>
      <w:r>
        <w:rPr>
          <w:b/>
        </w:rPr>
        <w:t xml:space="preserve">3. NCSC — Requirements for IT Infrastructure v3.3. </w:t>
      </w:r>
      <w:r>
        <w:t>https://www.ncsc.gov.uk/files/cyber-essentials-requirements-for-it-infrastructure-v3-3.pdf</w:t>
      </w:r>
    </w:p>
    <w:p>
      <w:r>
        <w:rPr>
          <w:b/>
        </w:rPr>
        <w:t xml:space="preserve">4. IASME — Danzell/Willow question-set preview. </w:t>
      </w:r>
      <w:r>
        <w:t>https://iasme.co.uk/cyber-essentials/preview-the-self-assessment-questions-for-cyber-essentials/</w:t>
      </w:r>
    </w:p>
    <w:p>
      <w:r>
        <w:rPr>
          <w:b/>
        </w:rPr>
        <w:t xml:space="preserve">5. NCSC — Cyber Essentials Plus Test Specification v3.2. </w:t>
      </w:r>
      <w:r>
        <w:t>https://www.ncsc.gov.uk/files/cyber-essentials-plus-test-specification-v3-2.pdf</w:t>
      </w:r>
    </w:p>
    <w:p>
      <w:r>
        <w:rPr>
          <w:b/>
        </w:rPr>
        <w:t xml:space="preserve">6. IASME — April 2026 scheme changes. </w:t>
      </w:r>
      <w:r>
        <w:t>https://iasme.co.uk/articles/important-update-changes-to-cyber-essentials-for-april-2026/</w:t>
      </w:r>
    </w:p>
    <w:p>
      <w:r>
        <w:t>External sources were checked against the public material available on 18 September 2026. Framework and certification schemes evolve; confirm the current version before a new assessment, examination or certification cycle.</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Framework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