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4B2466"/>
        </w:rPr>
        <w:t>PURPLEWASP</w:t>
      </w:r>
    </w:p>
    <w:p>
      <w:pPr>
        <w:pStyle w:val="Title"/>
        <w:jc w:val="center"/>
      </w:pPr>
      <w:r>
        <w:t>PurpleWASP Asset Management First-Time Implementation Handbook</w:t>
      </w:r>
    </w:p>
    <w:p>
      <w:pPr>
        <w:pStyle w:val="Subtitle"/>
        <w:jc w:val="center"/>
      </w:pPr>
      <w:r>
        <w:t>A practical first rollout from Asset inventory and CIA valuation through provider integrations, technical exposure and Risk linkage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2304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Document</w:t>
            </w:r>
          </w:p>
        </w:tc>
        <w:tc>
          <w:tcPr>
            <w:tcW w:type="dxa" w:w="6912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2304"/>
            <w:vAlign w:val="center"/>
          </w:tcPr>
          <w:p>
            <w:r/>
            <w:r>
              <w:rPr>
                <w:b w:val="0"/>
                <w:sz w:val="17"/>
              </w:rPr>
              <w:t>Audience</w:t>
            </w:r>
          </w:p>
        </w:tc>
        <w:tc>
          <w:tcPr>
            <w:tcW w:type="dxa" w:w="6912"/>
            <w:vAlign w:val="center"/>
          </w:tcPr>
          <w:p>
            <w:r/>
            <w:r>
              <w:rPr>
                <w:b w:val="0"/>
                <w:sz w:val="17"/>
              </w:rPr>
              <w:t>Asset Managers, IT/security teams, Risk Managers and PurpleWASP administrators</w:t>
            </w:r>
          </w:p>
        </w:tc>
      </w:tr>
      <w:tr>
        <w:tc>
          <w:tcPr>
            <w:tcW w:type="dxa" w:w="2304"/>
            <w:vAlign w:val="center"/>
          </w:tcPr>
          <w:p>
            <w:r/>
            <w:r>
              <w:rPr>
                <w:b w:val="0"/>
                <w:sz w:val="17"/>
              </w:rPr>
              <w:t>Baseline date</w:t>
            </w:r>
          </w:p>
        </w:tc>
        <w:tc>
          <w:tcPr>
            <w:tcW w:type="dxa" w:w="6912"/>
            <w:vAlign w:val="center"/>
          </w:tcPr>
          <w:p>
            <w:r/>
            <w:r>
              <w:rPr>
                <w:b w:val="0"/>
                <w:sz w:val="17"/>
              </w:rPr>
              <w:t>21 September 2026</w:t>
            </w:r>
          </w:p>
        </w:tc>
      </w:tr>
      <w:tr>
        <w:tc>
          <w:tcPr>
            <w:tcW w:type="dxa" w:w="2304"/>
            <w:vAlign w:val="center"/>
          </w:tcPr>
          <w:p>
            <w:r/>
            <w:r>
              <w:rPr>
                <w:b w:val="0"/>
                <w:sz w:val="17"/>
              </w:rPr>
              <w:t>Status</w:t>
            </w:r>
          </w:p>
        </w:tc>
        <w:tc>
          <w:tcPr>
            <w:tcW w:type="dxa" w:w="6912"/>
            <w:vAlign w:val="center"/>
          </w:tcPr>
          <w:p>
            <w:r/>
            <w:r>
              <w:rPr>
                <w:b w:val="0"/>
                <w:sz w:val="17"/>
              </w:rPr>
              <w:t>Current first-time implementation baseline</w:t>
            </w:r>
          </w:p>
        </w:tc>
      </w:tr>
      <w:tr>
        <w:tc>
          <w:tcPr>
            <w:tcW w:type="dxa" w:w="2304"/>
            <w:vAlign w:val="center"/>
          </w:tcPr>
          <w:p>
            <w:r/>
            <w:r>
              <w:rPr>
                <w:b w:val="0"/>
                <w:sz w:val="17"/>
              </w:rPr>
              <w:t>Product scope</w:t>
            </w:r>
          </w:p>
        </w:tc>
        <w:tc>
          <w:tcPr>
            <w:tcW w:type="dxa" w:w="6912"/>
            <w:vAlign w:val="center"/>
          </w:tcPr>
          <w:p>
            <w:r/>
            <w:r>
              <w:rPr>
                <w:b w:val="0"/>
                <w:sz w:val="17"/>
              </w:rPr>
              <w:t>PurpleWASP Asset Management and connected Risk/Control workflows</w:t>
            </w:r>
          </w:p>
        </w:tc>
      </w:tr>
    </w:tbl>
    <w:p/>
    <w:p>
      <w:r>
        <w:rPr>
          <w:b/>
        </w:rPr>
        <w:t xml:space="preserve">Purpose: </w:t>
      </w:r>
      <w:r>
        <w:t>This handbook gives a practical sequence for implementing PurpleWASP Asset Management for the first time and moving from trustworthy Asset records to provider-fed technical exposure and governed Risk linkage.</w:t>
      </w:r>
    </w:p>
    <w:p>
      <w:r>
        <w:rPr>
          <w:b/>
        </w:rPr>
        <w:t xml:space="preserve">Scope note: </w:t>
      </w:r>
      <w:r>
        <w:t>Use this handbook for implementation planning and acceptance. Use the Asset Management Technical Documentation v2.0 for schemas, endpoints, runtime architecture and troubleshooting.</w:t>
      </w:r>
    </w:p>
    <w:p>
      <w:r>
        <w:br w:type="page"/>
      </w:r>
    </w:p>
    <w:p>
      <w:pPr>
        <w:pStyle w:val="Heading1"/>
      </w:pPr>
      <w:r>
        <w:t>Document map</w:t>
      </w:r>
    </w:p>
    <w:p>
      <w:pPr>
        <w:spacing w:before="0" w:after="60" w:line="240" w:lineRule="auto"/>
      </w:pPr>
      <w:r>
        <w:rPr>
          <w:sz w:val="19"/>
        </w:rPr>
        <w:t>1. What you are implementing</w:t>
      </w:r>
    </w:p>
    <w:p>
      <w:pPr>
        <w:spacing w:before="0" w:after="60" w:line="240" w:lineRule="auto"/>
      </w:pPr>
      <w:r>
        <w:rPr>
          <w:sz w:val="19"/>
        </w:rPr>
        <w:t>2. Define scope and ownership</w:t>
      </w:r>
    </w:p>
    <w:p>
      <w:pPr>
        <w:spacing w:before="0" w:after="60" w:line="240" w:lineRule="auto"/>
      </w:pPr>
      <w:r>
        <w:rPr>
          <w:sz w:val="19"/>
        </w:rPr>
        <w:t>3. Configure taxonomy, CIA and criticality</w:t>
      </w:r>
    </w:p>
    <w:p>
      <w:pPr>
        <w:spacing w:before="0" w:after="60" w:line="240" w:lineRule="auto"/>
      </w:pPr>
      <w:r>
        <w:rPr>
          <w:sz w:val="19"/>
        </w:rPr>
        <w:t>4. Build the initial Asset inventory</w:t>
      </w:r>
    </w:p>
    <w:p>
      <w:pPr>
        <w:spacing w:before="0" w:after="60" w:line="240" w:lineRule="auto"/>
      </w:pPr>
      <w:r>
        <w:rPr>
          <w:sz w:val="19"/>
        </w:rPr>
        <w:t>5. Establish lifecycle and ownership quality</w:t>
      </w:r>
    </w:p>
    <w:p>
      <w:pPr>
        <w:spacing w:before="0" w:after="60" w:line="240" w:lineRule="auto"/>
      </w:pPr>
      <w:r>
        <w:rPr>
          <w:sz w:val="19"/>
        </w:rPr>
        <w:t>6. Configure Controls and Risk hand-offs</w:t>
      </w:r>
    </w:p>
    <w:p>
      <w:pPr>
        <w:spacing w:before="0" w:after="60" w:line="240" w:lineRule="auto"/>
      </w:pPr>
      <w:r>
        <w:rPr>
          <w:sz w:val="19"/>
        </w:rPr>
        <w:t>7. Configure provider integrations</w:t>
      </w:r>
    </w:p>
    <w:p>
      <w:pPr>
        <w:spacing w:before="0" w:after="60" w:line="240" w:lineRule="auto"/>
      </w:pPr>
      <w:r>
        <w:rPr>
          <w:sz w:val="19"/>
        </w:rPr>
        <w:t>8. Validate the first vulnerability ingestion</w:t>
      </w:r>
    </w:p>
    <w:p>
      <w:pPr>
        <w:spacing w:before="0" w:after="60" w:line="240" w:lineRule="auto"/>
      </w:pPr>
      <w:r>
        <w:rPr>
          <w:sz w:val="19"/>
        </w:rPr>
        <w:t>9. Work the Asset details workspace</w:t>
      </w:r>
    </w:p>
    <w:p>
      <w:pPr>
        <w:spacing w:before="0" w:after="60" w:line="240" w:lineRule="auto"/>
      </w:pPr>
      <w:r>
        <w:rPr>
          <w:sz w:val="19"/>
        </w:rPr>
        <w:t>10. Triage technical exposure</w:t>
      </w:r>
    </w:p>
    <w:p>
      <w:pPr>
        <w:spacing w:before="0" w:after="60" w:line="240" w:lineRule="auto"/>
      </w:pPr>
      <w:r>
        <w:rPr>
          <w:sz w:val="19"/>
        </w:rPr>
        <w:t>11. Link technical evidence to Risk</w:t>
      </w:r>
    </w:p>
    <w:p>
      <w:pPr>
        <w:spacing w:before="0" w:after="60" w:line="240" w:lineRule="auto"/>
      </w:pPr>
      <w:r>
        <w:rPr>
          <w:sz w:val="19"/>
        </w:rPr>
        <w:t>12. Establish operating cadence</w:t>
      </w:r>
    </w:p>
    <w:p>
      <w:pPr>
        <w:spacing w:before="0" w:after="60" w:line="240" w:lineRule="auto"/>
      </w:pPr>
      <w:r>
        <w:rPr>
          <w:sz w:val="19"/>
        </w:rPr>
        <w:t>13. Example 30/60/90-day rollout</w:t>
      </w:r>
    </w:p>
    <w:p>
      <w:pPr>
        <w:spacing w:before="0" w:after="60" w:line="240" w:lineRule="auto"/>
      </w:pPr>
      <w:r>
        <w:rPr>
          <w:sz w:val="19"/>
        </w:rPr>
        <w:t>14. Common implementation mistakes</w:t>
      </w:r>
    </w:p>
    <w:p>
      <w:pPr>
        <w:spacing w:before="0" w:after="60" w:line="240" w:lineRule="auto"/>
      </w:pPr>
      <w:r>
        <w:rPr>
          <w:sz w:val="19"/>
        </w:rPr>
        <w:t>15. First-production acceptance test</w:t>
      </w:r>
    </w:p>
    <w:p>
      <w:pPr>
        <w:spacing w:before="0" w:after="60" w:line="240" w:lineRule="auto"/>
      </w:pPr>
      <w:r>
        <w:rPr>
          <w:sz w:val="19"/>
        </w:rPr>
        <w:t>16. Master checklist</w:t>
      </w:r>
    </w:p>
    <w:p>
      <w:pPr>
        <w:spacing w:before="0" w:after="60" w:line="240" w:lineRule="auto"/>
      </w:pPr>
      <w:r>
        <w:rPr>
          <w:sz w:val="19"/>
        </w:rPr>
        <w:t>17. Handover to operations</w:t>
      </w:r>
    </w:p>
    <w:p>
      <w:pPr>
        <w:spacing w:before="0" w:after="60" w:line="240" w:lineRule="auto"/>
      </w:pPr>
      <w:r>
        <w:rPr>
          <w:sz w:val="19"/>
        </w:rPr>
        <w:t>18. Source baseline</w:t>
      </w:r>
    </w:p>
    <w:p>
      <w:r>
        <w:br w:type="page"/>
      </w:r>
    </w:p>
    <w:p>
      <w:pPr>
        <w:pStyle w:val="Heading1"/>
      </w:pPr>
      <w:r>
        <w:t>1. What you are implementing</w:t>
      </w:r>
    </w:p>
    <w:p>
      <w:r>
        <w:t>Asset Management is more than an inventory. The implementation establishes the context that Risk, Control and third-party workflows rely on, then optionally enriches that context with technical findings from connected security tools.</w:t>
      </w:r>
    </w:p>
    <w:p>
      <w:pPr/>
      <w:r>
        <w:rPr>
          <w:rFonts w:ascii="Consolas" w:hAnsi="Consolas"/>
          <w:sz w:val="16"/>
        </w:rPr>
        <w:t>Asset inventory -&gt; taxonomy/ownership/lifecycle -&gt; CIA/value -&gt; Controls/Risk context</w:t>
        <w:br/>
        <w:t xml:space="preserve">              -&gt; provider integrations -&gt; technical findings -&gt; Details -&gt; Link/Create Risk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5F0F8"/>
          </w:tcPr>
          <w:p>
            <w:pPr>
              <w:spacing w:after="0"/>
            </w:pPr>
            <w:r>
              <w:rPr>
                <w:b/>
                <w:color w:val="4B2466"/>
              </w:rPr>
              <w:t xml:space="preserve">Do not start with integrations first. </w:t>
            </w:r>
            <w:r>
              <w:t>A provider can discover hosts and findings, but PurpleWASP still needs a dependable Asset identity/taxonomy/ownership model so imported technical evidence can be understood and governed.</w:t>
            </w:r>
          </w:p>
        </w:tc>
      </w:tr>
    </w:tbl>
    <w:p/>
    <w:p>
      <w:pPr>
        <w:pStyle w:val="Heading1"/>
      </w:pPr>
      <w:r>
        <w:t>2. Define scope and ownership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4939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Primary responsibility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Asset programme owner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Owns scope, taxonomy conventions, quality and operating cadence.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IT/CMDB owner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Supplies source inventory and stable identifiers.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Security/Vulnerability owner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Owns provider connection, finding triage and remediation context.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Risk Manager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Owns business Risk scenarios and reassessment.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Control owner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Maintains organisation Controls and per-Asset implementation.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Administrator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Roles, module access, secrets/runtime and integration supervision.</w:t>
            </w:r>
          </w:p>
        </w:tc>
      </w:tr>
    </w:tbl>
    <w:p/>
    <w:p>
      <w:pPr>
        <w:pStyle w:val="ListBullet"/>
      </w:pPr>
      <w:r>
        <w:t>Define which business units/environments are in the initial Asset scope.</w:t>
      </w:r>
    </w:p>
    <w:p>
      <w:pPr>
        <w:pStyle w:val="ListBullet"/>
      </w:pPr>
      <w:r>
        <w:t>Agree stable naming/serial/product identity conventions.</w:t>
      </w:r>
    </w:p>
    <w:p>
      <w:pPr>
        <w:pStyle w:val="ListBullet"/>
      </w:pPr>
      <w:r>
        <w:t>Decide who can view, write and manage Assets.</w:t>
      </w:r>
    </w:p>
    <w:p>
      <w:pPr>
        <w:pStyle w:val="ListBullet"/>
      </w:pPr>
      <w:r>
        <w:t>Agree who owns provider credentials and who can run/configure integrations.</w:t>
      </w:r>
    </w:p>
    <w:p>
      <w:pPr>
        <w:pStyle w:val="Heading1"/>
      </w:pPr>
      <w:r>
        <w:t>3. Configure taxonomy, CIA and criticality</w:t>
      </w:r>
    </w:p>
    <w:p>
      <w:pPr>
        <w:ind w:left="216"/>
      </w:pPr>
      <w:r>
        <w:rPr>
          <w:b/>
        </w:rPr>
        <w:t xml:space="preserve">1. </w:t>
      </w:r>
      <w:r>
        <w:t>Review global Asset Classes and existing Category/Type options.</w:t>
      </w:r>
    </w:p>
    <w:p>
      <w:pPr>
        <w:ind w:left="216"/>
      </w:pPr>
      <w:r>
        <w:rPr>
          <w:b/>
        </w:rPr>
        <w:t xml:space="preserve">2. </w:t>
      </w:r>
      <w:r>
        <w:t>Create organisation Category/Type extensions only where global taxonomy is insufficient.</w:t>
      </w:r>
    </w:p>
    <w:p>
      <w:pPr>
        <w:ind w:left="216"/>
      </w:pPr>
      <w:r>
        <w:rPr>
          <w:b/>
        </w:rPr>
        <w:t xml:space="preserve">3. </w:t>
      </w:r>
      <w:r>
        <w:t>Confirm organisation CIA scale (3 or 5) before broad data entry.</w:t>
      </w:r>
    </w:p>
    <w:p>
      <w:pPr>
        <w:ind w:left="216"/>
      </w:pPr>
      <w:r>
        <w:rPr>
          <w:b/>
        </w:rPr>
        <w:t xml:space="preserve">4. </w:t>
      </w:r>
      <w:r>
        <w:t>Define Asset criticality tiers separately from CIA value.</w:t>
      </w:r>
    </w:p>
    <w:p>
      <w:pPr>
        <w:ind w:left="216"/>
      </w:pPr>
      <w:r>
        <w:rPr>
          <w:b/>
        </w:rPr>
        <w:t xml:space="preserve">5. </w:t>
      </w:r>
      <w:r>
        <w:t>Review value bands and Risk trigger/reassessment policy.</w:t>
      </w:r>
    </w:p>
    <w:p>
      <w:pPr>
        <w:ind w:left="216"/>
      </w:pPr>
      <w:r>
        <w:rPr>
          <w:b/>
        </w:rPr>
        <w:t xml:space="preserve">6. </w:t>
      </w:r>
      <w:r>
        <w:t>Document tag conventions, including any Force/Suppress Risk preferences.</w:t>
      </w:r>
    </w:p>
    <w:p>
      <w:pPr>
        <w:pStyle w:val="Heading1"/>
      </w:pPr>
      <w:r>
        <w:t>4. Build the initial Asset inventory</w:t>
      </w:r>
    </w:p>
    <w:p>
      <w:r>
        <w:t>Start with a controlled representative population, not the entire estate on day one. Create manually for a small pilot or use the file import workflow for an agreed source inventory.</w:t>
      </w:r>
    </w:p>
    <w:p>
      <w:pPr>
        <w:pStyle w:val="ListBullet"/>
      </w:pPr>
      <w:r>
        <w:t>Asset Name and stable identity fields.</w:t>
      </w:r>
    </w:p>
    <w:p>
      <w:pPr>
        <w:pStyle w:val="ListBullet"/>
      </w:pPr>
      <w:r>
        <w:t>Class/Category/Type and criticality.</w:t>
      </w:r>
    </w:p>
    <w:p>
      <w:pPr>
        <w:pStyle w:val="ListBullet"/>
      </w:pPr>
      <w:r>
        <w:t>Owner and custodian.</w:t>
      </w:r>
    </w:p>
    <w:p>
      <w:pPr>
        <w:pStyle w:val="ListBullet"/>
      </w:pPr>
      <w:r>
        <w:t>Location/network identifiers where relevant.</w:t>
      </w:r>
    </w:p>
    <w:p>
      <w:pPr>
        <w:pStyle w:val="ListBullet"/>
      </w:pPr>
      <w:r>
        <w:t>Confidentiality, Integrity and Availability.</w:t>
      </w:r>
    </w:p>
    <w:p>
      <w:pPr>
        <w:pStyle w:val="ListBullet"/>
      </w:pPr>
      <w:r>
        <w:t>Lifecycle state and important EOL/EOSL dates.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FF7E6"/>
          </w:tcPr>
          <w:p>
            <w:pPr>
              <w:spacing w:after="0"/>
            </w:pPr>
            <w:r>
              <w:rPr>
                <w:b/>
                <w:color w:val="4B2466"/>
              </w:rPr>
              <w:t xml:space="preserve">Import caution: </w:t>
            </w:r>
            <w:r>
              <w:t>Verify the current taxonomy-assignment behaviour before relying on bulk import to classify new Assets automatically. Treat imported Assets with missing taxonomy as a data-quality queue, not as fully implemented records.</w:t>
            </w:r>
          </w:p>
        </w:tc>
      </w:tr>
    </w:tbl>
    <w:p/>
    <w:p>
      <w:pPr>
        <w:pStyle w:val="Heading1"/>
      </w:pPr>
      <w:r>
        <w:t>5. Establish lifecycle and ownership quality</w:t>
      </w:r>
    </w:p>
    <w:p>
      <w:pPr>
        <w:ind w:left="216"/>
      </w:pPr>
      <w:r>
        <w:rPr>
          <w:b/>
        </w:rPr>
        <w:t xml:space="preserve">1. </w:t>
      </w:r>
      <w:r>
        <w:t>Confirm planned/in-use/maintenance/EOL/retired semantics with IT operations.</w:t>
      </w:r>
    </w:p>
    <w:p>
      <w:pPr>
        <w:ind w:left="216"/>
      </w:pPr>
      <w:r>
        <w:rPr>
          <w:b/>
        </w:rPr>
        <w:t xml:space="preserve">2. </w:t>
      </w:r>
      <w:r>
        <w:t>Require Asset Managers for retire/restore actions.</w:t>
      </w:r>
    </w:p>
    <w:p>
      <w:pPr>
        <w:ind w:left="216"/>
      </w:pPr>
      <w:r>
        <w:rPr>
          <w:b/>
        </w:rPr>
        <w:t xml:space="preserve">3. </w:t>
      </w:r>
      <w:r>
        <w:t>Review orphaned owner/custodian fields.</w:t>
      </w:r>
    </w:p>
    <w:p>
      <w:pPr>
        <w:ind w:left="216"/>
      </w:pPr>
      <w:r>
        <w:rPr>
          <w:b/>
        </w:rPr>
        <w:t xml:space="preserve">4. </w:t>
      </w:r>
      <w:r>
        <w:t>Use Activity and lifecycle attention indicators to identify stale records.</w:t>
      </w:r>
    </w:p>
    <w:p>
      <w:pPr>
        <w:ind w:left="216"/>
      </w:pPr>
      <w:r>
        <w:rPr>
          <w:b/>
        </w:rPr>
        <w:t xml:space="preserve">5. </w:t>
      </w:r>
      <w:r>
        <w:t>Agree a review cadence for ownership, taxonomy and lifecycle data.</w:t>
      </w:r>
    </w:p>
    <w:p>
      <w:pPr>
        <w:pStyle w:val="Heading1"/>
      </w:pPr>
      <w:r>
        <w:t>6. Configure Controls and Risk hand-offs</w:t>
      </w:r>
    </w:p>
    <w:p>
      <w:r>
        <w:t>Before connecting a vulnerability scanner, make sure the organisation understands the difference between Asset Control context and Risk context. Controls describe safeguards; Risk describes the business scenario and decision.</w:t>
      </w:r>
    </w:p>
    <w:p>
      <w:pPr>
        <w:pStyle w:val="ListBullet"/>
      </w:pPr>
      <w:r>
        <w:t>Review applicable organisation Controls on representative Assets.</w:t>
      </w:r>
    </w:p>
    <w:p>
      <w:pPr>
        <w:pStyle w:val="ListBullet"/>
      </w:pPr>
      <w:r>
        <w:t>Use per-Asset implementation state where supported.</w:t>
      </w:r>
    </w:p>
    <w:p>
      <w:pPr>
        <w:pStyle w:val="ListBullet"/>
      </w:pPr>
      <w:r>
        <w:t>Test Assess Now / Risk creation on one pilot Asset.</w:t>
      </w:r>
    </w:p>
    <w:p>
      <w:pPr>
        <w:pStyle w:val="ListBullet"/>
      </w:pPr>
      <w:r>
        <w:t>Confirm one-active-Risk-per-Asset behaviour matches the intended operating model.</w:t>
      </w:r>
    </w:p>
    <w:p>
      <w:pPr>
        <w:pStyle w:val="Heading1"/>
      </w:pPr>
      <w:r>
        <w:t>7. Configure provider integrations</w:t>
      </w:r>
    </w:p>
    <w:p>
      <w:pPr>
        <w:ind w:left="216"/>
      </w:pPr>
      <w:r>
        <w:rPr>
          <w:b/>
        </w:rPr>
        <w:t xml:space="preserve">1. </w:t>
      </w:r>
      <w:r>
        <w:t>Open the integration configuration for the supported provider.</w:t>
      </w:r>
    </w:p>
    <w:p>
      <w:pPr>
        <w:ind w:left="216"/>
      </w:pPr>
      <w:r>
        <w:rPr>
          <w:b/>
        </w:rPr>
        <w:t xml:space="preserve">2. </w:t>
      </w:r>
      <w:r>
        <w:t>Enter the provider API base URL/account identifiers and credentials using the approved secret-handling process.</w:t>
      </w:r>
    </w:p>
    <w:p>
      <w:pPr>
        <w:ind w:left="216"/>
      </w:pPr>
      <w:r>
        <w:rPr>
          <w:b/>
        </w:rPr>
        <w:t xml:space="preserve">3. </w:t>
      </w:r>
      <w:r>
        <w:t>Test the connection.</w:t>
      </w:r>
    </w:p>
    <w:p>
      <w:pPr>
        <w:ind w:left="216"/>
      </w:pPr>
      <w:r>
        <w:rPr>
          <w:b/>
        </w:rPr>
        <w:t xml:space="preserve">4. </w:t>
      </w:r>
      <w:r>
        <w:t>Save/activate the integration and set manual/automatic schedule as required.</w:t>
      </w:r>
    </w:p>
    <w:p>
      <w:pPr>
        <w:ind w:left="216"/>
      </w:pPr>
      <w:r>
        <w:rPr>
          <w:b/>
        </w:rPr>
        <w:t xml:space="preserve">5. </w:t>
      </w:r>
      <w:r>
        <w:t>Verify worker and scheduler runtime health.</w:t>
      </w:r>
    </w:p>
    <w:p>
      <w:pPr>
        <w:ind w:left="216"/>
      </w:pPr>
      <w:r>
        <w:rPr>
          <w:b/>
        </w:rPr>
        <w:t xml:space="preserve">6. </w:t>
      </w:r>
      <w:r>
        <w:t>Run one manual job and confirm queued -&gt; running -&gt; succeeded/failed state is visible.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FF7E6"/>
          </w:tcPr>
          <w:p>
            <w:pPr>
              <w:spacing w:after="0"/>
            </w:pPr>
            <w:r>
              <w:rPr>
                <w:b/>
                <w:color w:val="4B2466"/>
              </w:rPr>
              <w:t xml:space="preserve">Production rule: </w:t>
            </w:r>
            <w:r>
              <w:t>Keep TLS verification enabled. The integration worker/scheduler must receive the application DB environment and the protected runtime must retain the integration master key used to decrypt stored credentials.</w:t>
            </w:r>
          </w:p>
        </w:tc>
      </w:tr>
    </w:tbl>
    <w:p/>
    <w:p>
      <w:pPr>
        <w:pStyle w:val="Heading1"/>
      </w:pPr>
      <w:r>
        <w:t>8. Validate the first vulnerability ingestion</w:t>
      </w:r>
    </w:p>
    <w:p>
      <w:pPr>
        <w:ind w:left="216"/>
      </w:pPr>
      <w:r>
        <w:rPr>
          <w:b/>
        </w:rPr>
        <w:t xml:space="preserve">1. </w:t>
      </w:r>
      <w:r>
        <w:t>Choose a test Asset with known findings.</w:t>
      </w:r>
    </w:p>
    <w:p>
      <w:pPr>
        <w:ind w:left="216"/>
      </w:pPr>
      <w:r>
        <w:rPr>
          <w:b/>
        </w:rPr>
        <w:t xml:space="preserve">2. </w:t>
      </w:r>
      <w:r>
        <w:t>Run the integration and confirm the provider Asset maps to the intended PurpleWASP Asset.</w:t>
      </w:r>
    </w:p>
    <w:p>
      <w:pPr>
        <w:ind w:left="216"/>
      </w:pPr>
      <w:r>
        <w:rPr>
          <w:b/>
        </w:rPr>
        <w:t xml:space="preserve">3. </w:t>
      </w:r>
      <w:r>
        <w:t>Confirm findings appear in asset_vulnerability_findings.</w:t>
      </w:r>
    </w:p>
    <w:p>
      <w:pPr>
        <w:ind w:left="216"/>
      </w:pPr>
      <w:r>
        <w:rPr>
          <w:b/>
        </w:rPr>
        <w:t xml:space="preserve">4. </w:t>
      </w:r>
      <w:r>
        <w:t>Check grouped counts in the Asset Vulnerabilities tab.</w:t>
      </w:r>
    </w:p>
    <w:p>
      <w:pPr>
        <w:ind w:left="216"/>
      </w:pPr>
      <w:r>
        <w:rPr>
          <w:b/>
        </w:rPr>
        <w:t xml:space="preserve">5. </w:t>
      </w:r>
      <w:r>
        <w:t>Open one finding Details view and compare the observation with the provider output.</w:t>
      </w:r>
    </w:p>
    <w:p>
      <w:pPr>
        <w:ind w:left="216"/>
      </w:pPr>
      <w:r>
        <w:rPr>
          <w:b/>
        </w:rPr>
        <w:t xml:space="preserve">6. </w:t>
      </w:r>
      <w:r>
        <w:t>Confirm missing CVE enrichment does not prevent the finding from being usable.</w:t>
      </w:r>
    </w:p>
    <w:p>
      <w:pPr>
        <w:pStyle w:val="Heading1"/>
      </w:pPr>
      <w:r>
        <w:t>9. Work the Asset details workspace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Tab / panel</w:t>
            </w:r>
          </w:p>
        </w:tc>
        <w:tc>
          <w:tcPr>
            <w:tcW w:type="dxa" w:w="4939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Use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Overview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Prioritise value, lifecycle, Control gaps and current vulnerability posture.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Controls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Review applicable organisation Controls and per-Asset implementation.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Vulnerabilities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Filter/group findings, inspect Details and connect technical evidence to Risk.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Activity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Review lifecycle/Risk-trigger activity.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Risk Details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Keep active/completed assessment context visible while navigating the Asset.</w:t>
            </w:r>
          </w:p>
        </w:tc>
      </w:tr>
    </w:tbl>
    <w:p/>
    <w:p>
      <w:r>
        <w:t>Use the in-product Guide this asset walkthrough to train new operators on the current tabbed layout.</w:t>
      </w:r>
    </w:p>
    <w:p>
      <w:pPr>
        <w:pStyle w:val="Heading1"/>
      </w:pPr>
      <w:r>
        <w:t>10. Triage technical exposure</w:t>
      </w:r>
    </w:p>
    <w:p>
      <w:pPr>
        <w:ind w:left="216"/>
      </w:pPr>
      <w:r>
        <w:rPr>
          <w:b/>
        </w:rPr>
        <w:t xml:space="preserve">1. </w:t>
      </w:r>
      <w:r>
        <w:t>Start with Active + Critical/High filters.</w:t>
      </w:r>
    </w:p>
    <w:p>
      <w:pPr>
        <w:ind w:left="216"/>
      </w:pPr>
      <w:r>
        <w:rPr>
          <w:b/>
        </w:rPr>
        <w:t xml:space="preserve">2. </w:t>
      </w:r>
      <w:r>
        <w:t>Open Details before deciding whether a finding matters to the business Risk scenario.</w:t>
      </w:r>
    </w:p>
    <w:p>
      <w:pPr>
        <w:ind w:left="216"/>
      </w:pPr>
      <w:r>
        <w:rPr>
          <w:b/>
        </w:rPr>
        <w:t xml:space="preserve">3. </w:t>
      </w:r>
      <w:r>
        <w:t>Review title/description, CVEs if mapped, consequence/remediation and affected port/service.</w:t>
      </w:r>
    </w:p>
    <w:p>
      <w:pPr>
        <w:ind w:left="216"/>
      </w:pPr>
      <w:r>
        <w:rPr>
          <w:b/>
        </w:rPr>
        <w:t xml:space="preserve">4. </w:t>
      </w:r>
      <w:r>
        <w:t>Review first/last seen, occurrence count and lifecycle history.</w:t>
      </w:r>
    </w:p>
    <w:p>
      <w:pPr>
        <w:ind w:left="216"/>
      </w:pPr>
      <w:r>
        <w:rPr>
          <w:b/>
        </w:rPr>
        <w:t xml:space="preserve">5. </w:t>
      </w:r>
      <w:r>
        <w:t>Use grouped view for QID/plugin-level triage and individual view for observation-level investigation.</w:t>
      </w:r>
    </w:p>
    <w:p>
      <w:pPr>
        <w:pStyle w:val="Heading1"/>
      </w:pPr>
      <w:r>
        <w:t>11. Link technical evidence to Risk</w:t>
      </w:r>
    </w:p>
    <w:p>
      <w:pPr>
        <w:ind w:left="216"/>
      </w:pPr>
      <w:r>
        <w:rPr>
          <w:b/>
        </w:rPr>
        <w:t xml:space="preserve">1. </w:t>
      </w:r>
      <w:r>
        <w:t>Select one or more vulnerability groups.</w:t>
      </w:r>
    </w:p>
    <w:p>
      <w:pPr>
        <w:ind w:left="216"/>
      </w:pPr>
      <w:r>
        <w:rPr>
          <w:b/>
        </w:rPr>
        <w:t xml:space="preserve">2. </w:t>
      </w:r>
      <w:r>
        <w:t>Link to an existing active Risk for the same Asset when the evidence supports that scenario.</w:t>
      </w:r>
    </w:p>
    <w:p>
      <w:pPr>
        <w:ind w:left="216"/>
      </w:pPr>
      <w:r>
        <w:rPr>
          <w:b/>
        </w:rPr>
        <w:t xml:space="preserve">3. </w:t>
      </w:r>
      <w:r>
        <w:t>If the latest assessment is completed, link the evidence now and assess it during the next reassessment.</w:t>
      </w:r>
    </w:p>
    <w:p>
      <w:pPr>
        <w:ind w:left="216"/>
      </w:pPr>
      <w:r>
        <w:rPr>
          <w:b/>
        </w:rPr>
        <w:t xml:space="preserve">4. </w:t>
      </w:r>
      <w:r>
        <w:t>Create a new normal Risk only when there is no appropriate active Risk and the business scenario is genuinely distinct.</w:t>
      </w:r>
    </w:p>
    <w:p>
      <w:pPr>
        <w:ind w:left="216"/>
      </w:pPr>
      <w:r>
        <w:rPr>
          <w:b/>
        </w:rPr>
        <w:t xml:space="preserve">5. </w:t>
      </w:r>
      <w:r>
        <w:t>Confirm unlinking changes only the Risk relationship, not the Asset finding.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5F0F8"/>
          </w:tcPr>
          <w:p>
            <w:pPr>
              <w:spacing w:after="0"/>
            </w:pPr>
            <w:r>
              <w:rPr>
                <w:b/>
                <w:color w:val="4B2466"/>
              </w:rPr>
              <w:t xml:space="preserve">Human decision boundary: </w:t>
            </w:r>
            <w:r>
              <w:t>Do not create one Risk for every scanner finding. PurpleWASP automates collection, grouping and evidence linkage; the Risk Manager defines the scenario and decision.</w:t>
            </w:r>
          </w:p>
        </w:tc>
      </w:tr>
    </w:tbl>
    <w:p/>
    <w:p>
      <w:pPr>
        <w:pStyle w:val="Heading1"/>
      </w:pPr>
      <w:r>
        <w:t>12. Establish operating cadence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Cadence</w:t>
            </w:r>
          </w:p>
        </w:tc>
        <w:tc>
          <w:tcPr>
            <w:tcW w:type="dxa" w:w="4939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Activity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Daily/weekly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Review failed integration jobs and Critical/High active findings.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Weekly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Triage new/reopened findings and link material evidence to existing Risks.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Monthly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Review Asset ownership/lifecycle/data quality and control gaps.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Quarterly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Review integration credentials/runtime, provider scope and Risk linkage quality.</w:t>
            </w:r>
          </w:p>
        </w:tc>
      </w:tr>
      <w:tr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After major change</w:t>
            </w:r>
          </w:p>
        </w:tc>
        <w:tc>
          <w:tcPr>
            <w:tcW w:type="dxa" w:w="4939"/>
            <w:vAlign w:val="center"/>
          </w:tcPr>
          <w:p>
            <w:r/>
            <w:r>
              <w:rPr>
                <w:b w:val="0"/>
                <w:sz w:val="17"/>
              </w:rPr>
              <w:t>Reassess affected Assets/Risks and review new technical exposure.</w:t>
            </w:r>
          </w:p>
        </w:tc>
      </w:tr>
    </w:tbl>
    <w:p/>
    <w:p>
      <w:pPr>
        <w:pStyle w:val="Heading1"/>
      </w:pPr>
      <w:r>
        <w:t>13. Example 30/60/90-day rollout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Period</w:t>
            </w:r>
          </w:p>
        </w:tc>
        <w:tc>
          <w:tcPr>
            <w:tcW w:type="dxa" w:w="3293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Focus</w:t>
            </w:r>
          </w:p>
        </w:tc>
        <w:tc>
          <w:tcPr>
            <w:tcW w:type="dxa" w:w="3293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Exit condition</w:t>
            </w:r>
          </w:p>
        </w:tc>
      </w:tr>
      <w:tr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Days 1–30</w:t>
            </w:r>
          </w:p>
        </w:tc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Taxonomy, CIA scale, roles, pilot inventory, ownership/lifecycle quality</w:t>
            </w:r>
          </w:p>
        </w:tc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Representative Asset set is trustworthy and Risk/Control hand-offs work.</w:t>
            </w:r>
          </w:p>
        </w:tc>
      </w:tr>
      <w:tr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Days 31–60</w:t>
            </w:r>
          </w:p>
        </w:tc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Provider integration, first ingestion, finding Details/triage, operational supervision</w:t>
            </w:r>
          </w:p>
        </w:tc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Provider jobs run reliably and findings map to intended Assets.</w:t>
            </w:r>
          </w:p>
        </w:tc>
      </w:tr>
      <w:tr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Days 61–90</w:t>
            </w:r>
          </w:p>
        </w:tc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Risk linkage/reassessment, reporting cadence, wider inventory/provider scope</w:t>
            </w:r>
          </w:p>
        </w:tc>
        <w:tc>
          <w:tcPr>
            <w:tcW w:type="dxa" w:w="3293"/>
            <w:vAlign w:val="center"/>
          </w:tcPr>
          <w:p>
            <w:r/>
            <w:r>
              <w:rPr>
                <w:b w:val="0"/>
                <w:sz w:val="17"/>
              </w:rPr>
              <w:t>Technical evidence is used in governed Risk decisions and operations own the cadence.</w:t>
            </w:r>
          </w:p>
        </w:tc>
      </w:tr>
    </w:tbl>
    <w:p/>
    <w:p>
      <w:pPr>
        <w:pStyle w:val="Heading1"/>
      </w:pPr>
      <w:r>
        <w:t>14. Common implementation mistakes</w:t>
      </w:r>
    </w:p>
    <w:p>
      <w:pPr>
        <w:pStyle w:val="ListBullet"/>
      </w:pPr>
      <w:r>
        <w:t>Connecting a scanner before agreeing Asset identity and ownership.</w:t>
      </w:r>
    </w:p>
    <w:p>
      <w:pPr>
        <w:pStyle w:val="ListBullet"/>
      </w:pPr>
      <w:r>
        <w:t>Treating provider severity as Asset criticality or business Risk severity.</w:t>
      </w:r>
    </w:p>
    <w:p>
      <w:pPr>
        <w:pStyle w:val="ListBullet"/>
      </w:pPr>
      <w:r>
        <w:t>Creating one Risk per technical finding.</w:t>
      </w:r>
    </w:p>
    <w:p>
      <w:pPr>
        <w:pStyle w:val="ListBullet"/>
      </w:pPr>
      <w:r>
        <w:t>Treating “No mapped CVE” as “invalid finding”.</w:t>
      </w:r>
    </w:p>
    <w:p>
      <w:pPr>
        <w:pStyle w:val="ListBullet"/>
      </w:pPr>
      <w:r>
        <w:t>Making integration credentials world-readable or disabling production TLS verification.</w:t>
      </w:r>
    </w:p>
    <w:p>
      <w:pPr>
        <w:pStyle w:val="ListBullet"/>
      </w:pPr>
      <w:r>
        <w:t>Assuming a successful provider run means every provider host should become a PurpleWASP Asset.</w:t>
      </w:r>
    </w:p>
    <w:p>
      <w:pPr>
        <w:pStyle w:val="ListBullet"/>
      </w:pPr>
      <w:r>
        <w:t>Deleting resolved findings instead of preserving lifecycle/history.</w:t>
      </w:r>
    </w:p>
    <w:p>
      <w:pPr>
        <w:pStyle w:val="Heading1"/>
      </w:pPr>
      <w:r>
        <w:t>15. First-production acceptance test</w:t>
      </w:r>
    </w:p>
    <w:p>
      <w:pPr>
        <w:pStyle w:val="ListBullet"/>
      </w:pPr>
      <w:r>
        <w:t>Create/edit/retire/restore representative Assets under correct permissions.</w:t>
      </w:r>
    </w:p>
    <w:p>
      <w:pPr>
        <w:pStyle w:val="ListBullet"/>
      </w:pPr>
      <w:r>
        <w:t>Validate taxonomy/CIA/value and Controls workspace.</w:t>
      </w:r>
    </w:p>
    <w:p>
      <w:pPr>
        <w:pStyle w:val="ListBullet"/>
      </w:pPr>
      <w:r>
        <w:t>Run provider test connection and manual ingestion.</w:t>
      </w:r>
    </w:p>
    <w:p>
      <w:pPr>
        <w:pStyle w:val="ListBullet"/>
      </w:pPr>
      <w:r>
        <w:t>Verify worker/scheduler recovery after restart.</w:t>
      </w:r>
    </w:p>
    <w:p>
      <w:pPr>
        <w:pStyle w:val="ListBullet"/>
      </w:pPr>
      <w:r>
        <w:t>Open finding Details and verify evidence is useful and escaped safely.</w:t>
      </w:r>
    </w:p>
    <w:p>
      <w:pPr>
        <w:pStyle w:val="ListBullet"/>
      </w:pPr>
      <w:r>
        <w:t>Link to an existing Risk, unlink/relink, and confirm source finding unchanged.</w:t>
      </w:r>
    </w:p>
    <w:p>
      <w:pPr>
        <w:pStyle w:val="ListBullet"/>
      </w:pPr>
      <w:r>
        <w:t>Complete/reassess the Risk and confirm technical evidence behaves correctly.</w:t>
      </w:r>
    </w:p>
    <w:p>
      <w:pPr>
        <w:pStyle w:val="Heading1"/>
      </w:pPr>
      <w:r>
        <w:t>16. Master checklist</w:t>
      </w:r>
    </w:p>
    <w:p>
      <w:pPr>
        <w:pStyle w:val="ListBullet"/>
      </w:pPr>
      <w:r>
        <w:t>Scope and module owners agreed.</w:t>
      </w:r>
    </w:p>
    <w:p>
      <w:pPr>
        <w:pStyle w:val="ListBullet"/>
      </w:pPr>
      <w:r>
        <w:t>Roles/capabilities assigned.</w:t>
      </w:r>
    </w:p>
    <w:p>
      <w:pPr>
        <w:pStyle w:val="ListBullet"/>
      </w:pPr>
      <w:r>
        <w:t>Taxonomy and CIA scale confirmed.</w:t>
      </w:r>
    </w:p>
    <w:p>
      <w:pPr>
        <w:pStyle w:val="ListBullet"/>
      </w:pPr>
      <w:r>
        <w:t>Criticality/value/reassessment policy reviewed.</w:t>
      </w:r>
    </w:p>
    <w:p>
      <w:pPr>
        <w:pStyle w:val="ListBullet"/>
      </w:pPr>
      <w:r>
        <w:t>Pilot inventory clean and ownership assigned.</w:t>
      </w:r>
    </w:p>
    <w:p>
      <w:pPr>
        <w:pStyle w:val="ListBullet"/>
      </w:pPr>
      <w:r>
        <w:t>Controls/Risk hand-offs tested.</w:t>
      </w:r>
    </w:p>
    <w:p>
      <w:pPr>
        <w:pStyle w:val="ListBullet"/>
      </w:pPr>
      <w:r>
        <w:t>Integration secrets/TLS/runtime configured.</w:t>
      </w:r>
    </w:p>
    <w:p>
      <w:pPr>
        <w:pStyle w:val="ListBullet"/>
      </w:pPr>
      <w:r>
        <w:t>First provider run successful.</w:t>
      </w:r>
    </w:p>
    <w:p>
      <w:pPr>
        <w:pStyle w:val="ListBullet"/>
      </w:pPr>
      <w:r>
        <w:t>Grouped vulnerabilities and Details validated.</w:t>
      </w:r>
    </w:p>
    <w:p>
      <w:pPr>
        <w:pStyle w:val="ListBullet"/>
      </w:pPr>
      <w:r>
        <w:t>Risk linkage/reassessment validated.</w:t>
      </w:r>
    </w:p>
    <w:p>
      <w:pPr>
        <w:pStyle w:val="ListBullet"/>
      </w:pPr>
      <w:r>
        <w:t>Operating cadence and troubleshooting owner documented.</w:t>
      </w:r>
    </w:p>
    <w:p>
      <w:pPr>
        <w:pStyle w:val="ListBullet"/>
      </w:pPr>
      <w:r>
        <w:t>Help Centre and technical documentation distributed to operators.</w:t>
      </w:r>
    </w:p>
    <w:p>
      <w:pPr>
        <w:pStyle w:val="Heading1"/>
      </w:pPr>
      <w:r>
        <w:t>17. Handover to operations</w:t>
      </w:r>
    </w:p>
    <w:p>
      <w:r>
        <w:t>Handover should include the integration runtime health checks, provider credentials ownership, failed-job escalation, finding triage owner, Risk linkage/reassessment owner, Asset data-quality cadence and change/deployment procedure. Operations should know which state is authoritative in Asset, Risk, Control and global intelligence databases.</w:t>
      </w:r>
    </w:p>
    <w:p>
      <w:pPr>
        <w:pStyle w:val="Heading1"/>
      </w:pPr>
      <w:r>
        <w:t>18. Source baseline</w:t>
      </w:r>
    </w:p>
    <w:p>
      <w:pPr>
        <w:pStyle w:val="ListBullet"/>
      </w:pPr>
      <w:r>
        <w:t>PurpleWASP Asset Management Technical Documentation v2.0.</w:t>
      </w:r>
    </w:p>
    <w:p>
      <w:pPr>
        <w:pStyle w:val="ListBullet"/>
      </w:pPr>
      <w:r>
        <w:t>Current Asset Management web package supplied 21 September 2026.</w:t>
      </w:r>
    </w:p>
    <w:p>
      <w:pPr>
        <w:pStyle w:val="ListBullet"/>
      </w:pPr>
      <w:r>
        <w:t>Current provider-neutral integration and Qualys runtime baseline exercised in development and production.</w:t>
      </w:r>
    </w:p>
    <w:p>
      <w:pPr>
        <w:pStyle w:val="ListBullet"/>
      </w:pPr>
      <w:r>
        <w:t>Current Risk technical-exposure/linkage workflow used for cross-module acceptance.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81" w:bottom="1008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PWSmall"/>
      <w:jc w:val="right"/>
    </w:pPr>
    <w:r>
      <w:t xml:space="preserve">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PWSmall"/>
      <w:jc w:val="right"/>
    </w:pPr>
    <w:r>
      <w:t>PurpleWASP  |  Framework Documentation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4B098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E203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4B0983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E203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WSmall">
    <w:name w:val="PW Small"/>
    <w:rPr>
      <w:rFonts w:ascii="Arial" w:hAnsi="Arial"/>
      <w:color w:val="666666"/>
      <w:sz w:val="16"/>
    </w:rPr>
  </w:style>
  <w:style w:type="paragraph" w:customStyle="1" w:styleId="PWCallout">
    <w:name w:val="PW Callout"/>
    <w:rPr>
      <w:rFonts w:ascii="Arial" w:hAnsi="Arial"/>
      <w:b/>
      <w:color w:val="2E203C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PurpleWASP Asset Management First-Time Implementation Handbook</dc:title>
  <dc:subject>PurpleWASP CIS Controls v8.1 implementation handbook</dc:subject>
  <dc:creator>PurpleWASP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