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30055"/>
          <w:sz w:val="20"/>
        </w:rPr>
        <w:t>PURPLEWASP</w:t>
      </w:r>
    </w:p>
    <w:p>
      <w:pPr>
        <w:pStyle w:val="Title"/>
      </w:pPr>
      <w:r>
        <w:t>Integration Management</w:t>
        <w:br/>
        <w:t>First-Time Implementation Handbook</w:t>
      </w:r>
    </w:p>
    <w:p>
      <w:r>
        <w:t>Customer and organisation-administrator guide • Release baseline: 9 October 2026 • Version 1.1</w:t>
      </w:r>
    </w:p>
    <w:p>
      <w:r>
        <w:t>Connect supported providers, validate data collection, choose GitHub Auto-Refresh and understand automated Control evidence. This handbook intentionally excludes server internals, secrets and privileged incident procedures.</w:t>
      </w:r>
    </w:p>
    <w:tbl>
      <w:tblPr>
        <w:tblStyle w:val="LightShading-Accent1"/>
        <w:tblW w:type="auto" w:w="0"/>
        <w:tblLook w:firstColumn="1" w:firstRow="1" w:lastColumn="0" w:lastRow="0" w:noHBand="0" w:noVBand="1" w:val="04A0"/>
      </w:tblPr>
      <w:tblGrid>
        <w:gridCol w:w="4867"/>
        <w:gridCol w:w="4867"/>
      </w:tblGrid>
      <w:tr>
        <w:tc>
          <w:tcPr>
            <w:tcW w:type="dxa" w:w="4867"/>
            <w:vAlign w:val="center"/>
          </w:tcPr>
          <w:p>
            <w:r>
              <w:rPr>
                <w:b/>
              </w:rPr>
              <w:t>Who this is for</w:t>
            </w:r>
          </w:p>
        </w:tc>
        <w:tc>
          <w:tcPr>
            <w:tcW w:type="dxa" w:w="4867"/>
            <w:vAlign w:val="center"/>
          </w:tcPr>
          <w:p>
            <w:r>
              <w:rPr>
                <w:b/>
              </w:rPr>
              <w:t>Before starting</w:t>
            </w:r>
          </w:p>
        </w:tc>
      </w:tr>
      <w:tr>
        <w:tc>
          <w:tcPr>
            <w:tcW w:type="dxa" w:w="4867"/>
            <w:vAlign w:val="center"/>
          </w:tcPr>
          <w:p>
            <w:r>
              <w:t>Organisation administrators</w:t>
            </w:r>
          </w:p>
        </w:tc>
        <w:tc>
          <w:tcPr>
            <w:tcW w:type="dxa" w:w="4867"/>
            <w:vAlign w:val="center"/>
          </w:tcPr>
          <w:p>
            <w:r>
              <w:t>Access to Admin → Integrations, approved provider permissions and a nominated technical owner.</w:t>
            </w:r>
          </w:p>
        </w:tc>
      </w:tr>
      <w:tr>
        <w:tc>
          <w:tcPr>
            <w:tcW w:type="dxa" w:w="4867"/>
            <w:vAlign w:val="center"/>
          </w:tcPr>
          <w:p>
            <w:r>
              <w:t>Security/Control owners</w:t>
            </w:r>
          </w:p>
        </w:tc>
        <w:tc>
          <w:tcPr>
            <w:tcW w:type="dxa" w:w="4867"/>
            <w:vAlign w:val="center"/>
          </w:tcPr>
          <w:p>
            <w:r>
              <w:t>Know which Controls apply and who signs off configuration or exception decisions.</w:t>
            </w:r>
          </w:p>
        </w:tc>
      </w:tr>
      <w:tr>
        <w:tc>
          <w:tcPr>
            <w:tcW w:type="dxa" w:w="4867"/>
            <w:vAlign w:val="center"/>
          </w:tcPr>
          <w:p>
            <w:r>
              <w:t>Provider administrators</w:t>
            </w:r>
          </w:p>
        </w:tc>
        <w:tc>
          <w:tcPr>
            <w:tcW w:type="dxa" w:w="4867"/>
            <w:vAlign w:val="center"/>
          </w:tcPr>
          <w:p>
            <w:r>
              <w:t>Authorised Google Workspace, GitHub, Microsoft, AWS or Qualys account access; provider-side app installation as required.</w:t>
            </w:r>
          </w:p>
        </w:tc>
      </w:tr>
    </w:tbl>
    <w:p/>
    <w:p>
      <w:pPr>
        <w:pStyle w:val="Heading1"/>
      </w:pPr>
      <w:r>
        <w:t>1. Understand how evidence works</w:t>
      </w:r>
    </w:p>
    <w:p>
      <w:r>
        <w:t>PurpleWASP connects to external providers to collect supported security configuration and status information. An integration collection creates provider facts that can be evaluated against applicable, adopted organisation Controls. The same Control evidence can support several frameworks through existing mappings; PurpleWASP does not collect a new copy for each framework.</w:t>
      </w:r>
    </w:p>
    <w:p>
      <w:pPr>
        <w:pStyle w:val="ListBullet"/>
      </w:pPr>
      <w:r>
        <w:t>A collected fact or a passing automated check does not, by itself, mean that a complete Control, framework or certification is satisfied.</w:t>
      </w:r>
    </w:p>
    <w:p>
      <w:pPr>
        <w:pStyle w:val="ListBullet"/>
      </w:pPr>
      <w:r>
        <w:t>Automation does not automatically adopt Controls or change management decisions about a Control’s implementation.</w:t>
      </w:r>
    </w:p>
    <w:p>
      <w:pPr>
        <w:pStyle w:val="ListBullet"/>
      </w:pPr>
      <w:r>
        <w:t>You may continue using manual evidence. Provider integrations are optional and their scope depends on permissions, licensing and which data is accessible.</w:t>
      </w:r>
    </w:p>
    <w:p>
      <w:pPr>
        <w:pStyle w:val="Heading1"/>
      </w:pPr>
      <w:r>
        <w:t>2. Prepare a first-time connection</w:t>
      </w:r>
    </w:p>
    <w:p>
      <w:pPr>
        <w:ind w:left="331" w:hanging="259"/>
      </w:pPr>
      <w:r>
        <w:t>1. Choose the organisation and provider to connect. Confirm you are authorised to make the change and agree on the account/repositories or tenant being assessed.</w:t>
      </w:r>
    </w:p>
    <w:p>
      <w:pPr>
        <w:ind w:left="331" w:hanging="259"/>
      </w:pPr>
      <w:r>
        <w:t>2. Ask the provider owner to prepare the correct administrator access, consent, subscription and any platform-approved application installation or read-only permissions.</w:t>
      </w:r>
    </w:p>
    <w:p>
      <w:pPr>
        <w:ind w:left="331" w:hanging="259"/>
      </w:pPr>
      <w:r>
        <w:t>3. Open PurpleWASP → Admin → Integrations. Select the provider from the available catalogue and open its Configuration tab.</w:t>
      </w:r>
    </w:p>
    <w:p>
      <w:pPr>
        <w:ind w:left="331" w:hanging="259"/>
      </w:pPr>
      <w:r>
        <w:t>4. Enter only the fields requested by that provider. Use the safest credential approach supported by your organisation. Do not email passwords, PEM keys or tokens to the implementation team.</w:t>
      </w:r>
    </w:p>
    <w:p>
      <w:pPr>
        <w:ind w:left="331" w:hanging="259"/>
      </w:pPr>
      <w:r>
        <w:t>5. Use Test connection, resolve blocking issues, then save and activate the integration.</w:t>
      </w:r>
    </w:p>
    <w:p>
      <w:pPr>
        <w:ind w:left="331" w:hanging="259"/>
      </w:pPr>
      <w:r>
        <w:t>6. Enable only the relevant capabilities. Run Integration once to establish a baseline, then review Overview and Run history.</w:t>
      </w:r>
    </w:p>
    <w:p>
      <w:pPr>
        <w:ind w:left="331" w:hanging="259"/>
      </w:pPr>
      <w:r>
        <w:t>7. Confirm whether relevant adopted Controls have tests and evidence. Record the first collection date, reviewer, expected scope and any limitations.</w:t>
      </w:r>
    </w:p>
    <w:p>
      <w:pPr>
        <w:pStyle w:val="Heading1"/>
      </w:pPr>
      <w:r>
        <w:t>3. GitHub — install and connect the App</w:t>
      </w:r>
    </w:p>
    <w:p>
      <w:r>
        <w:t>GitHub uses a platform-owned GitHub App rather than asking each customer for a personal access token. A GitHub organisation owner controls where the App is installed and which repositories it can read.</w:t>
      </w:r>
    </w:p>
    <w:p>
      <w:pPr>
        <w:pStyle w:val="Heading2"/>
      </w:pPr>
      <w:r>
        <w:t>A. Install the GitHub App</w:t>
      </w:r>
    </w:p>
    <w:p>
      <w:pPr>
        <w:ind w:left="331" w:hanging="259"/>
      </w:pPr>
      <w:r>
        <w:t>1. Ask the GitHub organisation owner to open GitHub organisation Settings and locate the approved PurpleWASP GitHub App installation link supplied through your administrator.</w:t>
      </w:r>
    </w:p>
    <w:p>
      <w:pPr>
        <w:ind w:left="331" w:hanging="259"/>
      </w:pPr>
      <w:r>
        <w:t>2. Review the requested permissions, approve installation, and select All repositories or Only select repositories as appropriate. Prefer the narrower selection when possible.</w:t>
      </w:r>
    </w:p>
    <w:p>
      <w:pPr>
        <w:ind w:left="331" w:hanging="259"/>
      </w:pPr>
      <w:r>
        <w:t>3. Open the installed App’s configuration page and record the exact GitHub organisation login. Locate the numeric installation ID using the approved GitHub/PurpleWASP administrator guidance; it is different from the GitHub App ID.</w:t>
      </w:r>
    </w:p>
    <w:p>
      <w:pPr>
        <w:ind w:left="331" w:hanging="259"/>
      </w:pPr>
      <w:r>
        <w:t>4. Do not share the App’s private PEM key, JWTs, installation tokens, webhook signing secret or unrelated organisation information with your PurpleWASP organisation administrator.</w:t>
      </w:r>
    </w:p>
    <w:p>
      <w:pPr>
        <w:pStyle w:val="Heading2"/>
      </w:pPr>
      <w:r>
        <w:t>B. Configure the connection in PurpleWASP</w:t>
      </w:r>
    </w:p>
    <w:p>
      <w:pPr>
        <w:ind w:left="331" w:hanging="259"/>
      </w:pPr>
      <w:r>
        <w:t>1. In Admin → Integrations, choose GitHub → Configuration.</w:t>
      </w:r>
    </w:p>
    <w:p>
      <w:pPr>
        <w:ind w:left="331" w:hanging="259"/>
      </w:pPr>
      <w:r>
        <w:t>2. Enter the connection name, GitHub organisation login and GitHub App installation ID. Do not substitute the platform App ID for the installation ID.</w:t>
      </w:r>
    </w:p>
    <w:p>
      <w:pPr>
        <w:ind w:left="331" w:hanging="259"/>
      </w:pPr>
      <w:r>
        <w:t>3. Choose Test connection. Review the reported readiness and any capability limitations. Save and activate the connection.</w:t>
      </w:r>
    </w:p>
    <w:p>
      <w:pPr>
        <w:ind w:left="331" w:hanging="259"/>
      </w:pPr>
      <w:r>
        <w:t>4. Enable the required capabilities, then select Run Integration to make an initial collection.</w:t>
      </w:r>
    </w:p>
    <w:p>
      <w:pPr>
        <w:pStyle w:val="Heading2"/>
      </w:pPr>
      <w:r>
        <w:t>C. What GitHub can collect</w:t>
      </w:r>
    </w:p>
    <w:tbl>
      <w:tblPr>
        <w:tblStyle w:val="LightShading-Accent1"/>
        <w:tblW w:type="auto" w:w="0"/>
        <w:tblLook w:firstColumn="1" w:firstRow="1" w:lastColumn="0" w:lastRow="0" w:noHBand="0" w:noVBand="1" w:val="04A0"/>
      </w:tblPr>
      <w:tblGrid>
        <w:gridCol w:w="4867"/>
        <w:gridCol w:w="4867"/>
      </w:tblGrid>
      <w:tr>
        <w:tc>
          <w:tcPr>
            <w:tcW w:type="dxa" w:w="4867"/>
            <w:vAlign w:val="center"/>
          </w:tcPr>
          <w:p>
            <w:r>
              <w:rPr>
                <w:b/>
              </w:rPr>
              <w:t>Capability</w:t>
            </w:r>
          </w:p>
        </w:tc>
        <w:tc>
          <w:tcPr>
            <w:tcW w:type="dxa" w:w="4867"/>
            <w:vAlign w:val="center"/>
          </w:tcPr>
          <w:p>
            <w:r>
              <w:rPr>
                <w:b/>
              </w:rPr>
              <w:t>Coverage / limitation</w:t>
            </w:r>
          </w:p>
        </w:tc>
      </w:tr>
      <w:tr>
        <w:tc>
          <w:tcPr>
            <w:tcW w:type="dxa" w:w="4867"/>
            <w:vAlign w:val="center"/>
          </w:tcPr>
          <w:p>
            <w:r>
              <w:t>Organisation security</w:t>
            </w:r>
          </w:p>
        </w:tc>
        <w:tc>
          <w:tcPr>
            <w:tcW w:type="dxa" w:w="4867"/>
            <w:vAlign w:val="center"/>
          </w:tcPr>
          <w:p>
            <w:r>
              <w:t>Organisation-level security facts, subject to accessible settings and permissions.</w:t>
            </w:r>
          </w:p>
        </w:tc>
      </w:tr>
      <w:tr>
        <w:tc>
          <w:tcPr>
            <w:tcW w:type="dxa" w:w="4867"/>
            <w:vAlign w:val="center"/>
          </w:tcPr>
          <w:p>
            <w:r>
              <w:t>Repository security</w:t>
            </w:r>
          </w:p>
        </w:tc>
        <w:tc>
          <w:tcPr>
            <w:tcW w:type="dxa" w:w="4867"/>
            <w:vAlign w:val="center"/>
          </w:tcPr>
          <w:p>
            <w:r>
              <w:t>Default-branch and repository security configuration within the approved repository scope.</w:t>
            </w:r>
          </w:p>
        </w:tc>
      </w:tr>
      <w:tr>
        <w:tc>
          <w:tcPr>
            <w:tcW w:type="dxa" w:w="4867"/>
            <w:vAlign w:val="center"/>
          </w:tcPr>
          <w:p>
            <w:r>
              <w:t>Code security</w:t>
            </w:r>
          </w:p>
        </w:tc>
        <w:tc>
          <w:tcPr>
            <w:tcW w:type="dxa" w:w="4867"/>
            <w:vAlign w:val="center"/>
          </w:tcPr>
          <w:p>
            <w:r>
              <w:t>Available code scanning and dependency alert posture; GitHub plans, feature enablement and access can limit evidence.</w:t>
            </w:r>
          </w:p>
        </w:tc>
      </w:tr>
      <w:tr>
        <w:tc>
          <w:tcPr>
            <w:tcW w:type="dxa" w:w="4867"/>
            <w:vAlign w:val="center"/>
          </w:tcPr>
          <w:p>
            <w:r>
              <w:t>Audit</w:t>
            </w:r>
          </w:p>
        </w:tc>
        <w:tc>
          <w:tcPr>
            <w:tcW w:type="dxa" w:w="4867"/>
            <w:vAlign w:val="center"/>
          </w:tcPr>
          <w:p>
            <w:r>
              <w:t>Available organisation activity and collection status; absence of API access must be shown as limited/unavailable.</w:t>
            </w:r>
          </w:p>
        </w:tc>
      </w:tr>
    </w:tbl>
    <w:p/>
    <w:p>
      <w:r>
        <w:t>If GitHub does not allow a particular API on your plan, PurpleWASP must represent the coverage honestly. An unavailable stream cannot be treated as proof that no high-risk findings exist.</w:t>
      </w:r>
    </w:p>
    <w:p>
      <w:pPr>
        <w:pStyle w:val="Heading1"/>
      </w:pPr>
      <w:r>
        <w:t>4. GitHub — Auto-Refresh ON or OFF</w:t>
      </w:r>
    </w:p>
    <w:p>
      <w:r>
        <w:t>The GitHub Configuration tab includes Automatically refresh evidence on GitHub changes. This setting is independent of the scheduling option and is OFF by default.</w:t>
      </w:r>
    </w:p>
    <w:tbl>
      <w:tblPr>
        <w:tblStyle w:val="LightShading-Accent1"/>
        <w:tblW w:type="auto" w:w="0"/>
        <w:tblLook w:firstColumn="1" w:firstRow="1" w:lastColumn="0" w:lastRow="0" w:noHBand="0" w:noVBand="1" w:val="04A0"/>
      </w:tblPr>
      <w:tblGrid>
        <w:gridCol w:w="4867"/>
        <w:gridCol w:w="4867"/>
      </w:tblGrid>
      <w:tr>
        <w:tc>
          <w:tcPr>
            <w:tcW w:type="dxa" w:w="4867"/>
            <w:vAlign w:val="center"/>
          </w:tcPr>
          <w:p>
            <w:r>
              <w:rPr>
                <w:b/>
              </w:rPr>
              <w:t>Setting</w:t>
            </w:r>
          </w:p>
        </w:tc>
        <w:tc>
          <w:tcPr>
            <w:tcW w:type="dxa" w:w="4867"/>
            <w:vAlign w:val="center"/>
          </w:tcPr>
          <w:p>
            <w:r>
              <w:rPr>
                <w:b/>
              </w:rPr>
              <w:t>What happens for a new supported GitHub event</w:t>
            </w:r>
          </w:p>
        </w:tc>
      </w:tr>
      <w:tr>
        <w:tc>
          <w:tcPr>
            <w:tcW w:type="dxa" w:w="4867"/>
            <w:vAlign w:val="center"/>
          </w:tcPr>
          <w:p>
            <w:r>
              <w:t>ON</w:t>
            </w:r>
          </w:p>
        </w:tc>
        <w:tc>
          <w:tcPr>
            <w:tcW w:type="dxa" w:w="4867"/>
            <w:vAlign w:val="center"/>
          </w:tcPr>
          <w:p>
            <w:r>
              <w:t>PurpleWASP accepts the verified event, then can queue a relevant capability collection. The background worker fetches fresh GitHub information and evaluates relevant adopted Controls.</w:t>
            </w:r>
          </w:p>
        </w:tc>
      </w:tr>
      <w:tr>
        <w:tc>
          <w:tcPr>
            <w:tcW w:type="dxa" w:w="4867"/>
            <w:vAlign w:val="center"/>
          </w:tcPr>
          <w:p>
            <w:r>
              <w:t>OFF</w:t>
            </w:r>
          </w:p>
        </w:tc>
        <w:tc>
          <w:tcPr>
            <w:tcW w:type="dxa" w:w="4867"/>
            <w:vAlign w:val="center"/>
          </w:tcPr>
          <w:p>
            <w:r>
              <w:t>PurpleWASP can retain event receipt information without launching a new webhook-triggered collection. You can still run a manual or scheduled sync.</w:t>
            </w:r>
          </w:p>
        </w:tc>
      </w:tr>
      <w:tr>
        <w:tc>
          <w:tcPr>
            <w:tcW w:type="dxa" w:w="4867"/>
            <w:vAlign w:val="center"/>
          </w:tcPr>
          <w:p>
            <w:r>
              <w:t>Changing from OFF to ON</w:t>
            </w:r>
          </w:p>
        </w:tc>
        <w:tc>
          <w:tcPr>
            <w:tcW w:type="dxa" w:w="4867"/>
            <w:vAlign w:val="center"/>
          </w:tcPr>
          <w:p>
            <w:r>
              <w:t>The new setting applies to subsequent events; older accepted deliveries are not automatically replayed.</w:t>
            </w:r>
          </w:p>
        </w:tc>
      </w:tr>
    </w:tbl>
    <w:p/>
    <w:p>
      <w:pPr>
        <w:pStyle w:val="Heading2"/>
      </w:pPr>
      <w:r>
        <w:t>Safe ON test for a new installation</w:t>
      </w:r>
    </w:p>
    <w:p>
      <w:pPr>
        <w:ind w:left="331" w:hanging="259"/>
      </w:pPr>
      <w:r>
        <w:t>1. Enable Auto-Refresh in the GitHub integration modal. Close and reopen the Configuration tab to confirm the switch retains its value.</w:t>
      </w:r>
    </w:p>
    <w:p>
      <w:pPr>
        <w:ind w:left="331" w:hanging="259"/>
      </w:pPr>
      <w:r>
        <w:t>2. Make a harmless change, such as editing the description of an approved test repository covered by the App.</w:t>
      </w:r>
    </w:p>
    <w:p>
      <w:pPr>
        <w:ind w:left="331" w:hanging="259"/>
      </w:pPr>
      <w:r>
        <w:t>3. Check Run history for a new automatically initiated repository-security job. Inspect the latest collection and the relevant Control test/evidence rather than relying only on the webhook response.</w:t>
      </w:r>
    </w:p>
    <w:p>
      <w:pPr>
        <w:pStyle w:val="Heading2"/>
      </w:pPr>
      <w:r>
        <w:t>Safe OFF test</w:t>
      </w:r>
    </w:p>
    <w:p>
      <w:pPr>
        <w:ind w:left="331" w:hanging="259"/>
      </w:pPr>
      <w:r>
        <w:t>1. Turn Auto-Refresh OFF and confirm the UI shows Off after reopening the modal.</w:t>
      </w:r>
    </w:p>
    <w:p>
      <w:pPr>
        <w:ind w:left="331" w:hanging="259"/>
      </w:pPr>
      <w:r>
        <w:t>2. Make a different harmless change to the approved test repository. The new event should be retained as a receipt, but there should be no new webhook-triggered job for that event.</w:t>
      </w:r>
    </w:p>
    <w:p>
      <w:pPr>
        <w:ind w:left="331" w:hanging="259"/>
      </w:pPr>
      <w:r>
        <w:t>3. Leave Auto-Refresh OFF if you prefer manual/scheduled collection; otherwise turn it ON again after testing.</w:t>
      </w:r>
    </w:p>
    <w:p>
      <w:r>
        <w:t>Important: the same GitHub App installation cannot currently be actively linked to two separate PurpleWASP organisations at the same time. If you receive an installation-conflict error, contact the PurpleWASP platform administrator; do not change another organisation’s configuration.</w:t>
      </w:r>
    </w:p>
    <w:p>
      <w:pPr>
        <w:pStyle w:val="Heading1"/>
      </w:pPr>
      <w:r>
        <w:t>5. Google Workspace — connect with administrator consent</w:t>
      </w:r>
    </w:p>
    <w:p>
      <w:r>
        <w:t>A central Google OAuth application is prepared by the PurpleWASP platform administrator. Your Workspace administrator authorises access for your own Workspace tenant; you do not need to upload the central OAuth client secret into the organisation modal.</w:t>
      </w:r>
    </w:p>
    <w:p>
      <w:pPr>
        <w:ind w:left="331" w:hanging="259"/>
      </w:pPr>
      <w:r>
        <w:t>1. Confirm the Workspace administrator has the appropriate role and has approved the Identity/Audit read scopes needed by your organisation.</w:t>
      </w:r>
    </w:p>
    <w:p>
      <w:pPr>
        <w:ind w:left="331" w:hanging="259"/>
      </w:pPr>
      <w:r>
        <w:t>2. Open Admin → Integrations → Google Workspace and select Connect Google Workspace.</w:t>
      </w:r>
    </w:p>
    <w:p>
      <w:pPr>
        <w:ind w:left="331" w:hanging="259"/>
      </w:pPr>
      <w:r>
        <w:t>3. Complete Google consent using the authorised administrator account. Return to PurpleWASP after the consent flow.</w:t>
      </w:r>
    </w:p>
    <w:p>
      <w:pPr>
        <w:ind w:left="331" w:hanging="259"/>
      </w:pPr>
      <w:r>
        <w:t>4. Choose Test connection. Review the Identity and Audit capability results separately; one API stream may be limited without invalidating all authorised access.</w:t>
      </w:r>
    </w:p>
    <w:p>
      <w:pPr>
        <w:ind w:left="331" w:hanging="259"/>
      </w:pPr>
      <w:r>
        <w:t>5. Activate the connection, select the required capabilities and run one baseline collection.</w:t>
      </w:r>
    </w:p>
    <w:p>
      <w:r>
        <w:t>If consent fails because the redirect URL is not recognised or the application is not approved, contact your PurpleWASP platform administrator. Do not send consent codes, refresh tokens or client secrets in screenshots or messages.</w:t>
      </w:r>
    </w:p>
    <w:p>
      <w:pPr>
        <w:pStyle w:val="Heading1"/>
      </w:pPr>
      <w:r>
        <w:t>6. Microsoft, AWS and Qualys — connection summary</w:t>
      </w:r>
    </w:p>
    <w:tbl>
      <w:tblPr>
        <w:tblStyle w:val="LightShading-Accent1"/>
        <w:tblW w:type="auto" w:w="0"/>
        <w:tblLook w:firstColumn="1" w:firstRow="1" w:lastColumn="0" w:lastRow="0" w:noHBand="0" w:noVBand="1" w:val="04A0"/>
      </w:tblPr>
      <w:tblGrid>
        <w:gridCol w:w="4867"/>
        <w:gridCol w:w="4867"/>
      </w:tblGrid>
      <w:tr>
        <w:tc>
          <w:tcPr>
            <w:tcW w:type="dxa" w:w="4867"/>
            <w:vAlign w:val="center"/>
          </w:tcPr>
          <w:p>
            <w:r>
              <w:rPr>
                <w:b/>
              </w:rPr>
              <w:t>Provider</w:t>
            </w:r>
          </w:p>
        </w:tc>
        <w:tc>
          <w:tcPr>
            <w:tcW w:type="dxa" w:w="4867"/>
            <w:vAlign w:val="center"/>
          </w:tcPr>
          <w:p>
            <w:r>
              <w:rPr>
                <w:b/>
              </w:rPr>
              <w:t>Recommended first-time approach</w:t>
            </w:r>
          </w:p>
        </w:tc>
      </w:tr>
      <w:tr>
        <w:tc>
          <w:tcPr>
            <w:tcW w:type="dxa" w:w="4867"/>
            <w:vAlign w:val="center"/>
          </w:tcPr>
          <w:p>
            <w:r>
              <w:t>Microsoft</w:t>
            </w:r>
          </w:p>
        </w:tc>
        <w:tc>
          <w:tcPr>
            <w:tcW w:type="dxa" w:w="4867"/>
            <w:vAlign w:val="center"/>
          </w:tcPr>
          <w:p>
            <w:r>
              <w:t>Use one shared Microsoft tenant connection. Configure authorised app credentials, Test connection, then enable the Entra ID, Microsoft 365 Security, Azure, Intune or Defender capabilities your tenant supports. Licensing can affect individual capabilities.</w:t>
            </w:r>
          </w:p>
        </w:tc>
      </w:tr>
      <w:tr>
        <w:tc>
          <w:tcPr>
            <w:tcW w:type="dxa" w:w="4867"/>
            <w:vAlign w:val="center"/>
          </w:tcPr>
          <w:p>
            <w:r>
              <w:t>AWS</w:t>
            </w:r>
          </w:p>
        </w:tc>
        <w:tc>
          <w:tcPr>
            <w:tcW w:type="dxa" w:w="4867"/>
            <w:vAlign w:val="center"/>
          </w:tcPr>
          <w:p>
            <w:r>
              <w:t>Connect the intended account. Prefer delegated role access where approved, verify account identity using Test connection, enable only intended inventory/security capabilities and run a baseline. Unsubscribed services can report unavailable.</w:t>
            </w:r>
          </w:p>
        </w:tc>
      </w:tr>
      <w:tr>
        <w:tc>
          <w:tcPr>
            <w:tcW w:type="dxa" w:w="4867"/>
            <w:vAlign w:val="center"/>
          </w:tcPr>
          <w:p>
            <w:r>
              <w:t>Qualys</w:t>
            </w:r>
          </w:p>
        </w:tc>
        <w:tc>
          <w:tcPr>
            <w:tcW w:type="dxa" w:w="4867"/>
            <w:vAlign w:val="center"/>
          </w:tcPr>
          <w:p>
            <w:r>
              <w:t>Use the approved Qualys API endpoint and credentials, Test connection, activate vulnerability collection and review Asset Management findings/coverage.</w:t>
            </w:r>
          </w:p>
        </w:tc>
      </w:tr>
    </w:tbl>
    <w:p/>
    <w:p>
      <w:pPr>
        <w:pStyle w:val="Heading1"/>
      </w:pPr>
      <w:r>
        <w:t>7. Review Control assurance and evidence history</w:t>
      </w:r>
    </w:p>
    <w:p>
      <w:pPr>
        <w:ind w:left="331" w:hanging="259"/>
      </w:pPr>
      <w:r>
        <w:t>1. Open the organisation Control record for the relevant subject. Confirm the Control has been adopted and is applicable/active.</w:t>
      </w:r>
    </w:p>
    <w:p>
      <w:pPr>
        <w:ind w:left="331" w:hanging="259"/>
      </w:pPr>
      <w:r>
        <w:t>2. Review the latest automated test run: passed, failed or inconclusive. Check the provider scope and collection completeness before interpreting the result.</w:t>
      </w:r>
    </w:p>
    <w:p>
      <w:pPr>
        <w:ind w:left="331" w:hanging="259"/>
      </w:pPr>
      <w:r>
        <w:t>3. Review linked integration evidence. When a newer qualifying assessment supersedes the previous one, current evidence should represent the latest evaluation and previous generated evidence should remain archived for traceability.</w:t>
      </w:r>
    </w:p>
    <w:p>
      <w:pPr>
        <w:ind w:left="331" w:hanging="259"/>
      </w:pPr>
      <w:r>
        <w:t>4. Record evidence owner, collection scope and any limitation. Use explicit management review for final Control implementation decisions.</w:t>
      </w:r>
    </w:p>
    <w:p>
      <w:r>
        <w:t>In the validated GitHub repository-security workflow, a repository configuration change automatically produced a successful repository collection, a passing narrowly scoped control test and a new current evidence record while older evidence was archived. This example must not be read as an assurance claim for every GitHub capability.</w:t>
      </w:r>
    </w:p>
    <w:p>
      <w:pPr>
        <w:pStyle w:val="Heading1"/>
      </w:pPr>
      <w:r>
        <w:t>8. Troubleshooting without exposing secrets</w:t>
      </w:r>
    </w:p>
    <w:tbl>
      <w:tblPr>
        <w:tblStyle w:val="LightShading-Accent1"/>
        <w:tblW w:type="auto" w:w="0"/>
        <w:tblLook w:firstColumn="1" w:firstRow="1" w:lastColumn="0" w:lastRow="0" w:noHBand="0" w:noVBand="1" w:val="04A0"/>
      </w:tblPr>
      <w:tblGrid>
        <w:gridCol w:w="4867"/>
        <w:gridCol w:w="4867"/>
      </w:tblGrid>
      <w:tr>
        <w:tc>
          <w:tcPr>
            <w:tcW w:type="dxa" w:w="4867"/>
            <w:vAlign w:val="center"/>
          </w:tcPr>
          <w:p>
            <w:r>
              <w:rPr>
                <w:b/>
              </w:rPr>
              <w:t>What you see</w:t>
            </w:r>
          </w:p>
        </w:tc>
        <w:tc>
          <w:tcPr>
            <w:tcW w:type="dxa" w:w="4867"/>
            <w:vAlign w:val="center"/>
          </w:tcPr>
          <w:p>
            <w:r>
              <w:rPr>
                <w:b/>
              </w:rPr>
              <w:t>What to check safely</w:t>
            </w:r>
          </w:p>
        </w:tc>
      </w:tr>
      <w:tr>
        <w:tc>
          <w:tcPr>
            <w:tcW w:type="dxa" w:w="4867"/>
            <w:vAlign w:val="center"/>
          </w:tcPr>
          <w:p>
            <w:r>
              <w:t>Connection fails</w:t>
            </w:r>
          </w:p>
        </w:tc>
        <w:tc>
          <w:tcPr>
            <w:tcW w:type="dxa" w:w="4867"/>
            <w:vAlign w:val="center"/>
          </w:tcPr>
          <w:p>
            <w:r>
              <w:t>Correct account/organisation, approved permissions, application installation and scope.</w:t>
            </w:r>
          </w:p>
        </w:tc>
      </w:tr>
      <w:tr>
        <w:tc>
          <w:tcPr>
            <w:tcW w:type="dxa" w:w="4867"/>
            <w:vAlign w:val="center"/>
          </w:tcPr>
          <w:p>
            <w:r>
              <w:t>GitHub receives event but no new job</w:t>
            </w:r>
          </w:p>
        </w:tc>
        <w:tc>
          <w:tcPr>
            <w:tcW w:type="dxa" w:w="4867"/>
            <w:vAlign w:val="center"/>
          </w:tcPr>
          <w:p>
            <w:r>
              <w:t>Whether Auto-Refresh is OFF, a matching capability is enabled, and the event type is supported.</w:t>
            </w:r>
          </w:p>
        </w:tc>
      </w:tr>
      <w:tr>
        <w:tc>
          <w:tcPr>
            <w:tcW w:type="dxa" w:w="4867"/>
            <w:vAlign w:val="center"/>
          </w:tcPr>
          <w:p>
            <w:r>
              <w:t>Audit/code-security information is limited</w:t>
            </w:r>
          </w:p>
        </w:tc>
        <w:tc>
          <w:tcPr>
            <w:tcW w:type="dxa" w:w="4867"/>
            <w:vAlign w:val="center"/>
          </w:tcPr>
          <w:p>
            <w:r>
              <w:t>Provider plan, requested access and security features; do not assume a zero count.</w:t>
            </w:r>
          </w:p>
        </w:tc>
      </w:tr>
      <w:tr>
        <w:tc>
          <w:tcPr>
            <w:tcW w:type="dxa" w:w="4867"/>
            <w:vAlign w:val="center"/>
          </w:tcPr>
          <w:p>
            <w:r>
              <w:t>Job succeeds but Control evidence is missing</w:t>
            </w:r>
          </w:p>
        </w:tc>
        <w:tc>
          <w:tcPr>
            <w:tcW w:type="dxa" w:w="4867"/>
            <w:vAlign w:val="center"/>
          </w:tcPr>
          <w:p>
            <w:r>
              <w:t>Control adoption/applicability and whether the collected facts support an active automation rule.</w:t>
            </w:r>
          </w:p>
        </w:tc>
      </w:tr>
      <w:tr>
        <w:tc>
          <w:tcPr>
            <w:tcW w:type="dxa" w:w="4867"/>
            <w:vAlign w:val="center"/>
          </w:tcPr>
          <w:p>
            <w:r>
              <w:t>GitHub installation conflict</w:t>
            </w:r>
          </w:p>
        </w:tc>
        <w:tc>
          <w:tcPr>
            <w:tcW w:type="dxa" w:w="4867"/>
            <w:vAlign w:val="center"/>
          </w:tcPr>
          <w:p>
            <w:r>
              <w:t>An identical installation may already belong to another active PurpleWASP organisation. Escalate to platform support.</w:t>
            </w:r>
          </w:p>
        </w:tc>
      </w:tr>
      <w:tr>
        <w:tc>
          <w:tcPr>
            <w:tcW w:type="dxa" w:w="4867"/>
            <w:vAlign w:val="center"/>
          </w:tcPr>
          <w:p>
            <w:r>
              <w:t>Google OAuth permission/callback issue</w:t>
            </w:r>
          </w:p>
        </w:tc>
        <w:tc>
          <w:tcPr>
            <w:tcW w:type="dxa" w:w="4867"/>
            <w:vAlign w:val="center"/>
          </w:tcPr>
          <w:p>
            <w:r>
              <w:t>Contact the platform administrator with a safe error code; do not share codes or tokens.</w:t>
            </w:r>
          </w:p>
        </w:tc>
      </w:tr>
    </w:tbl>
    <w:p/>
    <w:p>
      <w:pPr>
        <w:pStyle w:val="Heading1"/>
      </w:pPr>
      <w:r>
        <w:t>9. Security and privacy checklist</w:t>
      </w:r>
    </w:p>
    <w:p>
      <w:pPr>
        <w:pStyle w:val="ListBullet"/>
      </w:pPr>
      <w:r>
        <w:t>Grant only the provider permissions and repository scope needed by the selected capability.</w:t>
      </w:r>
    </w:p>
    <w:p>
      <w:pPr>
        <w:pStyle w:val="ListBullet"/>
      </w:pPr>
      <w:r>
        <w:t>Never paste client secrets, passwords, PEM private keys, webhook secrets, refresh tokens or installation access tokens into documents, screenshots, code, support tickets or chat.</w:t>
      </w:r>
    </w:p>
    <w:p>
      <w:pPr>
        <w:pStyle w:val="ListBullet"/>
      </w:pPr>
      <w:r>
        <w:t>When a permission or repository selection changes, run Test connection again and review any change in evidence scope.</w:t>
      </w:r>
    </w:p>
    <w:p>
      <w:pPr>
        <w:pStyle w:val="ListBullet"/>
      </w:pPr>
      <w:r>
        <w:t>Maintain an owner for secrets, consent and access reviews; deactivate unused integrations.</w:t>
      </w:r>
    </w:p>
    <w:p>
      <w:pPr>
        <w:pStyle w:val="ListBullet"/>
      </w:pPr>
      <w:r>
        <w:t>Report suspected cross-organisation access or incorrect tenant association promptly through your normal security channel.</w:t>
      </w:r>
    </w:p>
    <w:p>
      <w:pPr>
        <w:pStyle w:val="Heading1"/>
      </w:pPr>
      <w:r>
        <w:t>10. Official setup references and next steps</w:t>
      </w:r>
    </w:p>
    <w:p>
      <w:r>
        <w:t>GitHub: https://docs.github.com/en/apps/using-github-apps/installing-a-github-app-from-a-third-party</w:t>
      </w:r>
    </w:p>
    <w:p>
      <w:r>
        <w:t>GitHub installation review: https://docs.github.com/en/apps/using-github-apps/reviewing-and-modifying-installed-github-apps</w:t>
      </w:r>
    </w:p>
    <w:p>
      <w:r>
        <w:t>Google Auth Platform: https://support.google.com/cloud/answer/15544987?hl=en</w:t>
      </w:r>
    </w:p>
    <w:p>
      <w:r>
        <w:t>After completing these steps, record an internal acceptance note for each connected provider: owner, approved scope, tested capabilities, baseline job, Control review, automated-refresh preference and next access review date.</w:t>
      </w:r>
    </w:p>
    <w:sectPr w:rsidR="00FC693F" w:rsidRPr="0006063C" w:rsidSect="00034616">
      <w:footerReference w:type="default" r:id="rId9"/>
      <w:pgSz w:w="12240" w:h="15840"/>
      <w:pgMar w:top="1109" w:right="1253" w:bottom="1080" w:left="125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E737D"/>
        <w:sz w:val="16"/>
      </w:rPr>
      <w:t>PurpleWASP • Integration setup • v1.1 • 9 Oct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83241"/>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530055"/>
      <w:sz w:val="28"/>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ptos Display" w:hAnsi="Aptos Display"/>
      <w:b/>
      <w:bCs/>
      <w:color w:val="530055"/>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60"/>
      <w:contextualSpacing/>
    </w:pPr>
    <w:rPr>
      <w:rFonts w:asciiTheme="majorHAnsi" w:eastAsiaTheme="majorEastAsia" w:hAnsiTheme="majorHAnsi" w:cstheme="majorBidi" w:ascii="Aptos Display" w:hAnsi="Aptos Display"/>
      <w:b/>
      <w:color w:val="530055"/>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PurpleWASP — Integration Management First-Time Implementation Handbook v1.1</dc:title>
  <dc:subject>Customer-facing onboarding for provider integrations</dc:subject>
  <dc:creator>PurpleWASP Documentation</dc:creator>
  <cp:keywords>integrations GitHub Google Workspace Microsoft AWS Qualys</cp:keywords>
  <dc:description>Approved scope and audience classification determine distribution.</dc:description>
  <cp:lastModifiedBy>PurpleWASP Documentation</cp:lastModifiedBy>
  <cp:revision>1</cp:revision>
  <dcterms:created xsi:type="dcterms:W3CDTF">2013-12-23T23:15:00Z</dcterms:created>
  <dcterms:modified xsi:type="dcterms:W3CDTF">2013-12-23T23:15:00Z</dcterms:modified>
  <cp:category/>
</cp:coreProperties>
</file>