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B2466"/>
        </w:rPr>
        <w:t>PURPLEWASP</w:t>
      </w:r>
    </w:p>
    <w:p>
      <w:pPr>
        <w:pStyle w:val="Title"/>
        <w:jc w:val="center"/>
      </w:pPr>
      <w:r>
        <w:t>PurpleWASP Risk Management First-Time Implementation Handbook</w:t>
      </w:r>
    </w:p>
    <w:p>
      <w:pPr>
        <w:pStyle w:val="Subtitle"/>
        <w:jc w:val="center"/>
      </w:pPr>
      <w:r>
        <w:t>A practical first rollout covering qualitative and FAIR assessment, technical exposure, treatment, exceptions, reassessment and operating cadence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304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6912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Audience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Risk Managers, Risk Owners, security teams, Control owners and PurpleWASP administrators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Baseline date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21 September 2026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Status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Current first-time implementation baseline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Product scope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PurpleWASP Risk Management and connected Asset/Control/TPRM workflows</w:t>
            </w:r>
          </w:p>
        </w:tc>
      </w:tr>
    </w:tbl>
    <w:p/>
    <w:p>
      <w:r>
        <w:rPr>
          <w:b/>
        </w:rPr>
        <w:t xml:space="preserve">Purpose: </w:t>
      </w:r>
      <w:r>
        <w:t>This handbook provides a practical sequence for implementing PurpleWASP Risk Management for the first time, including the current technical-evidence workflow from connected Asset vulnerability findings.</w:t>
      </w:r>
    </w:p>
    <w:p>
      <w:r>
        <w:rPr>
          <w:b/>
        </w:rPr>
        <w:t xml:space="preserve">Scope note: </w:t>
      </w:r>
      <w:r>
        <w:t>Use this handbook for programme rollout and operating practice. Use the Risk Management Technical Documentation v2.0 for data models, endpoint contracts, snapshot semantics and troubleshooting.</w:t>
      </w:r>
    </w:p>
    <w:p>
      <w:r>
        <w:br w:type="page"/>
      </w:r>
    </w:p>
    <w:p>
      <w:pPr>
        <w:pStyle w:val="Heading1"/>
      </w:pPr>
      <w:r>
        <w:t>Document map</w:t>
      </w:r>
    </w:p>
    <w:p>
      <w:pPr>
        <w:spacing w:before="0" w:after="60" w:line="240" w:lineRule="auto"/>
      </w:pPr>
      <w:r>
        <w:rPr>
          <w:sz w:val="19"/>
        </w:rPr>
        <w:t>1. What you are implementing</w:t>
      </w:r>
    </w:p>
    <w:p>
      <w:pPr>
        <w:spacing w:before="0" w:after="60" w:line="240" w:lineRule="auto"/>
      </w:pPr>
      <w:r>
        <w:rPr>
          <w:sz w:val="19"/>
        </w:rPr>
        <w:t>2. Define governance and roles</w:t>
      </w:r>
    </w:p>
    <w:p>
      <w:pPr>
        <w:spacing w:before="0" w:after="60" w:line="240" w:lineRule="auto"/>
      </w:pPr>
      <w:r>
        <w:rPr>
          <w:sz w:val="19"/>
        </w:rPr>
        <w:t>3. Configure categories, criteria, appetite and tolerance</w:t>
      </w:r>
    </w:p>
    <w:p>
      <w:pPr>
        <w:spacing w:before="0" w:after="60" w:line="240" w:lineRule="auto"/>
      </w:pPr>
      <w:r>
        <w:rPr>
          <w:sz w:val="19"/>
        </w:rPr>
        <w:t>4. Prepare Assets and Control context</w:t>
      </w:r>
    </w:p>
    <w:p>
      <w:pPr>
        <w:spacing w:before="0" w:after="60" w:line="240" w:lineRule="auto"/>
      </w:pPr>
      <w:r>
        <w:rPr>
          <w:sz w:val="19"/>
        </w:rPr>
        <w:t>5. Create the first Risk</w:t>
      </w:r>
    </w:p>
    <w:p>
      <w:pPr>
        <w:spacing w:before="0" w:after="60" w:line="240" w:lineRule="auto"/>
      </w:pPr>
      <w:r>
        <w:rPr>
          <w:sz w:val="19"/>
        </w:rPr>
        <w:t>6. Complete the qualitative Identification step</w:t>
      </w:r>
    </w:p>
    <w:p>
      <w:pPr>
        <w:spacing w:before="0" w:after="60" w:line="240" w:lineRule="auto"/>
      </w:pPr>
      <w:r>
        <w:rPr>
          <w:sz w:val="19"/>
        </w:rPr>
        <w:t>7. Use Technical Exposure correctly</w:t>
      </w:r>
    </w:p>
    <w:p>
      <w:pPr>
        <w:spacing w:before="0" w:after="60" w:line="240" w:lineRule="auto"/>
      </w:pPr>
      <w:r>
        <w:rPr>
          <w:sz w:val="19"/>
        </w:rPr>
        <w:t>8. Evaluate and treat the Risk</w:t>
      </w:r>
    </w:p>
    <w:p>
      <w:pPr>
        <w:spacing w:before="0" w:after="60" w:line="240" w:lineRule="auto"/>
      </w:pPr>
      <w:r>
        <w:rPr>
          <w:sz w:val="19"/>
        </w:rPr>
        <w:t>9. Complete and preserve the first assessment</w:t>
      </w:r>
    </w:p>
    <w:p>
      <w:pPr>
        <w:spacing w:before="0" w:after="60" w:line="240" w:lineRule="auto"/>
      </w:pPr>
      <w:r>
        <w:rPr>
          <w:sz w:val="19"/>
        </w:rPr>
        <w:t>10. Start and complete reassessment</w:t>
      </w:r>
    </w:p>
    <w:p>
      <w:pPr>
        <w:spacing w:before="0" w:after="60" w:line="240" w:lineRule="auto"/>
      </w:pPr>
      <w:r>
        <w:rPr>
          <w:sz w:val="19"/>
        </w:rPr>
        <w:t>11. Use FAIR where financial quantification is required</w:t>
      </w:r>
    </w:p>
    <w:p>
      <w:pPr>
        <w:spacing w:before="0" w:after="60" w:line="240" w:lineRule="auto"/>
      </w:pPr>
      <w:r>
        <w:rPr>
          <w:sz w:val="19"/>
        </w:rPr>
        <w:t>12. Govern exceptions and lifecycle</w:t>
      </w:r>
    </w:p>
    <w:p>
      <w:pPr>
        <w:spacing w:before="0" w:after="60" w:line="240" w:lineRule="auto"/>
      </w:pPr>
      <w:r>
        <w:rPr>
          <w:sz w:val="19"/>
        </w:rPr>
        <w:t>13. Use dashboards, graph and PurpAI</w:t>
      </w:r>
    </w:p>
    <w:p>
      <w:pPr>
        <w:spacing w:before="0" w:after="60" w:line="240" w:lineRule="auto"/>
      </w:pPr>
      <w:r>
        <w:rPr>
          <w:sz w:val="19"/>
        </w:rPr>
        <w:t>14. Example 30/60/90-day rollout</w:t>
      </w:r>
    </w:p>
    <w:p>
      <w:pPr>
        <w:spacing w:before="0" w:after="60" w:line="240" w:lineRule="auto"/>
      </w:pPr>
      <w:r>
        <w:rPr>
          <w:sz w:val="19"/>
        </w:rPr>
        <w:t>15. Common implementation mistakes</w:t>
      </w:r>
    </w:p>
    <w:p>
      <w:pPr>
        <w:spacing w:before="0" w:after="60" w:line="240" w:lineRule="auto"/>
      </w:pPr>
      <w:r>
        <w:rPr>
          <w:sz w:val="19"/>
        </w:rPr>
        <w:t>16. First-production acceptance test</w:t>
      </w:r>
    </w:p>
    <w:p>
      <w:pPr>
        <w:spacing w:before="0" w:after="60" w:line="240" w:lineRule="auto"/>
      </w:pPr>
      <w:r>
        <w:rPr>
          <w:sz w:val="19"/>
        </w:rPr>
        <w:t>17. Master checklist</w:t>
      </w:r>
    </w:p>
    <w:p>
      <w:pPr>
        <w:spacing w:before="0" w:after="60" w:line="240" w:lineRule="auto"/>
      </w:pPr>
      <w:r>
        <w:rPr>
          <w:sz w:val="19"/>
        </w:rPr>
        <w:t>18. Source baseline</w:t>
      </w:r>
    </w:p>
    <w:p>
      <w:r>
        <w:br w:type="page"/>
      </w:r>
    </w:p>
    <w:p>
      <w:pPr>
        <w:pStyle w:val="Heading1"/>
      </w:pPr>
      <w:r>
        <w:t>1. What you are implementing</w:t>
      </w:r>
    </w:p>
    <w:p>
      <w:r>
        <w:t>Risk Management is a governed decision workflow, not a vulnerability list. A Risk is anchored to an Asset and progresses through scenario identification, assessment, evaluation, treatment, completion, exception/lifecycle decisions and reassessment. Technical findings can support that scenario without becoming automatic Risk records.</w:t>
      </w:r>
    </w:p>
    <w:p>
      <w:pPr/>
      <w:r>
        <w:rPr>
          <w:rFonts w:ascii="Consolas" w:hAnsi="Consolas"/>
          <w:sz w:val="16"/>
        </w:rPr>
        <w:t>Asset -&gt; Risk -&gt; Identification (threats + manual weaknesses + technical exposure + current controls)</w:t>
        <w:br/>
        <w:t xml:space="preserve">      -&gt; Evaluation -&gt; Treatment -&gt; Review/Complete -&gt; immutable snapshot -&gt; Reassess when conditions change</w:t>
      </w:r>
    </w:p>
    <w:p>
      <w:pPr>
        <w:pStyle w:val="Heading1"/>
      </w:pPr>
      <w:r>
        <w:t>2. Define governance and roles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Primary responsibility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Risk programme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Risk taxonomy, appetite/tolerance, reporting and operating cadence.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Risk Manager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Creates/assesses Risks and coordinates treatment/reassessment.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Risk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Owns the business decision and residual exposure.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Control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Provides current Control implementation/assurance and treatment actions.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Security/Vulnerability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Supplies technical findings/evidence and remediation context.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Exception approver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Approves/rejects governed departures.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Administrator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Capabilities, configuration, licence and environment support.</w:t>
            </w:r>
          </w:p>
        </w:tc>
      </w:tr>
    </w:tbl>
    <w:p/>
    <w:p>
      <w:pPr>
        <w:pStyle w:val="Heading1"/>
      </w:pPr>
      <w:r>
        <w:t>3. Configure categories, criteria, appetite and tolerance</w:t>
      </w:r>
    </w:p>
    <w:p>
      <w:pPr>
        <w:ind w:left="216"/>
      </w:pPr>
      <w:r>
        <w:rPr>
          <w:b/>
        </w:rPr>
        <w:t xml:space="preserve">1. </w:t>
      </w:r>
      <w:r>
        <w:t>Confirm organisation CIA scale (3 or 5).</w:t>
      </w:r>
    </w:p>
    <w:p>
      <w:pPr>
        <w:ind w:left="216"/>
      </w:pPr>
      <w:r>
        <w:rPr>
          <w:b/>
        </w:rPr>
        <w:t xml:space="preserve">2. </w:t>
      </w:r>
      <w:r>
        <w:t>Review Risk Categories and owner-role choices.</w:t>
      </w:r>
    </w:p>
    <w:p>
      <w:pPr>
        <w:ind w:left="216"/>
      </w:pPr>
      <w:r>
        <w:rPr>
          <w:b/>
        </w:rPr>
        <w:t xml:space="preserve">3. </w:t>
      </w:r>
      <w:r>
        <w:t>Define non-overlapping CIA acceptance criteria that cover the full score range.</w:t>
      </w:r>
    </w:p>
    <w:p>
      <w:pPr>
        <w:ind w:left="216"/>
      </w:pPr>
      <w:r>
        <w:rPr>
          <w:b/>
        </w:rPr>
        <w:t xml:space="preserve">4. </w:t>
      </w:r>
      <w:r>
        <w:t>Configure appetite and tolerance for each relevant Risk Category.</w:t>
      </w:r>
    </w:p>
    <w:p>
      <w:pPr>
        <w:ind w:left="216"/>
      </w:pPr>
      <w:r>
        <w:rPr>
          <w:b/>
        </w:rPr>
        <w:t xml:space="preserve">5. </w:t>
      </w:r>
      <w:r>
        <w:t>Review treatment catalogue/default response semantics.</w:t>
      </w:r>
    </w:p>
    <w:p>
      <w:pPr>
        <w:ind w:left="216"/>
      </w:pPr>
      <w:r>
        <w:rPr>
          <w:b/>
        </w:rPr>
        <w:t xml:space="preserve">6. </w:t>
      </w:r>
      <w:r>
        <w:t>Confirm exception requester/approver roles and review interval.</w:t>
      </w:r>
    </w:p>
    <w:p>
      <w:pPr>
        <w:ind w:left="216"/>
      </w:pPr>
      <w:r>
        <w:rPr>
          <w:b/>
        </w:rPr>
        <w:t xml:space="preserve">7. </w:t>
      </w:r>
      <w:r>
        <w:t>Confirm Risk licence capacity and one-active-Risk-per-Asset rule with process owners.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5F0F8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Configuration authority: </w:t>
            </w:r>
            <w:r>
              <w:t>Do not hard-code expected severity/treatment behaviour into training or local spreadsheets. PurpleWASP acceptance criteria and appetite/tolerance configuration are authoritative for the workflow.</w:t>
            </w:r>
          </w:p>
        </w:tc>
      </w:tr>
    </w:tbl>
    <w:p/>
    <w:p>
      <w:pPr>
        <w:pStyle w:val="Heading1"/>
      </w:pPr>
      <w:r>
        <w:t>4. Prepare Assets and Control context</w:t>
      </w:r>
    </w:p>
    <w:p>
      <w:pPr>
        <w:pStyle w:val="ListBullet"/>
      </w:pPr>
      <w:r>
        <w:t>Ensure pilot Assets have correct taxonomy, owner/custodian and CIA/value.</w:t>
      </w:r>
    </w:p>
    <w:p>
      <w:pPr>
        <w:pStyle w:val="ListBullet"/>
      </w:pPr>
      <w:r>
        <w:t>Confirm relevant organisation Controls are adopted and their current implementation/assurance is realistic.</w:t>
      </w:r>
    </w:p>
    <w:p>
      <w:pPr>
        <w:pStyle w:val="ListBullet"/>
      </w:pPr>
      <w:r>
        <w:t>Where vulnerability integrations are used, confirm Asset findings are mapped to the correct PurpleWASP Asset.</w:t>
      </w:r>
    </w:p>
    <w:p>
      <w:pPr>
        <w:pStyle w:val="ListBullet"/>
      </w:pPr>
      <w:r>
        <w:t>Choose a small representative set of business scenarios for the first rollout.</w:t>
      </w:r>
    </w:p>
    <w:p>
      <w:pPr>
        <w:pStyle w:val="Heading1"/>
      </w:pPr>
      <w:r>
        <w:t>5. Create the first Risk</w:t>
      </w:r>
    </w:p>
    <w:p>
      <w:pPr>
        <w:ind w:left="216"/>
      </w:pPr>
      <w:r>
        <w:rPr>
          <w:b/>
        </w:rPr>
        <w:t xml:space="preserve">1. </w:t>
      </w:r>
      <w:r>
        <w:t>Open Risk Register and select Create Risk, or create from an Asset/selected technical evidence.</w:t>
      </w:r>
    </w:p>
    <w:p>
      <w:pPr>
        <w:ind w:left="216"/>
      </w:pPr>
      <w:r>
        <w:rPr>
          <w:b/>
        </w:rPr>
        <w:t xml:space="preserve">2. </w:t>
      </w:r>
      <w:r>
        <w:t>Select the Asset, Risk Category and Risk Owner.</w:t>
      </w:r>
    </w:p>
    <w:p>
      <w:pPr>
        <w:ind w:left="216"/>
      </w:pPr>
      <w:r>
        <w:rPr>
          <w:b/>
        </w:rPr>
        <w:t xml:space="preserve">3. </w:t>
      </w:r>
      <w:r>
        <w:t>Write a scenario-oriented description: cause/event -&gt; impact on the Asset/business outcome.</w:t>
      </w:r>
    </w:p>
    <w:p>
      <w:pPr>
        <w:ind w:left="216"/>
      </w:pPr>
      <w:r>
        <w:rPr>
          <w:b/>
        </w:rPr>
        <w:t xml:space="preserve">4. </w:t>
      </w:r>
      <w:r>
        <w:t>Use initial likelihood/impact only when you have a defensible preliminary estimate; formal assessment follows.</w:t>
      </w:r>
    </w:p>
    <w:p>
      <w:pPr>
        <w:ind w:left="216"/>
      </w:pPr>
      <w:r>
        <w:rPr>
          <w:b/>
        </w:rPr>
        <w:t xml:space="preserve">5. </w:t>
      </w:r>
      <w:r>
        <w:t>Confirm the Risk is open and attached to the intended Asset.</w:t>
      </w:r>
    </w:p>
    <w:p>
      <w:pPr>
        <w:pStyle w:val="Heading1"/>
      </w:pPr>
      <w:r>
        <w:t>6. Complete the qualitative Identification step</w:t>
      </w:r>
    </w:p>
    <w:p>
      <w:pPr>
        <w:ind w:left="216"/>
      </w:pPr>
      <w:r>
        <w:rPr>
          <w:b/>
        </w:rPr>
        <w:t xml:space="preserve">1. </w:t>
      </w:r>
      <w:r>
        <w:t>Review the Asset context in Overview.</w:t>
      </w:r>
    </w:p>
    <w:p>
      <w:pPr>
        <w:ind w:left="216"/>
      </w:pPr>
      <w:r>
        <w:rPr>
          <w:b/>
        </w:rPr>
        <w:t xml:space="preserve">2. </w:t>
      </w:r>
      <w:r>
        <w:t>Add relevant Threats / Risk Events.</w:t>
      </w:r>
    </w:p>
    <w:p>
      <w:pPr>
        <w:ind w:left="216"/>
      </w:pPr>
      <w:r>
        <w:rPr>
          <w:b/>
        </w:rPr>
        <w:t xml:space="preserve">3. </w:t>
      </w:r>
      <w:r>
        <w:t>Add manual Weaknesses / Vulnerabilities / Causes where the scanner cannot observe the condition.</w:t>
      </w:r>
    </w:p>
    <w:p>
      <w:pPr>
        <w:ind w:left="216"/>
      </w:pPr>
      <w:r>
        <w:rPr>
          <w:b/>
        </w:rPr>
        <w:t xml:space="preserve">4. </w:t>
      </w:r>
      <w:r>
        <w:t>Review Technical Exposure for linked scanner evidence.</w:t>
      </w:r>
    </w:p>
    <w:p>
      <w:pPr>
        <w:ind w:left="216"/>
      </w:pPr>
      <w:r>
        <w:rPr>
          <w:b/>
        </w:rPr>
        <w:t xml:space="preserve">5. </w:t>
      </w:r>
      <w:r>
        <w:t>Record Controls already operating now; do not put planned remediation here.</w:t>
      </w:r>
    </w:p>
    <w:p>
      <w:pPr>
        <w:ind w:left="216"/>
      </w:pPr>
      <w:r>
        <w:rPr>
          <w:b/>
        </w:rPr>
        <w:t xml:space="preserve">6. </w:t>
      </w:r>
      <w:r>
        <w:t>Confirm the working scenario is coherent before moving to Evaluation.</w:t>
      </w:r>
    </w:p>
    <w:p>
      <w:pPr>
        <w:pStyle w:val="Heading1"/>
      </w:pPr>
      <w:r>
        <w:t>7. Use Technical Exposure correctly</w:t>
      </w:r>
    </w:p>
    <w:p>
      <w:r>
        <w:t>Technical Exposure groups linked provider findings into technical vulnerabilities. For each linked group, review Details and then set the Risk assessment factors.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Factor</w:t>
            </w:r>
          </w:p>
        </w:tc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Implementation guidance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Exploitability / likelihood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Use the organisation scale and scenario context; do not copy provider severity mechanically.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Control effectiveness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0–1 judgement for controls already operating against this scenario.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Uncertainty %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Make uncertainty explicit when evidence, scope or exploitability is unclear.</w:t>
            </w:r>
          </w:p>
        </w:tc>
      </w:tr>
    </w:tbl>
    <w:p/>
    <w:p>
      <w:pPr>
        <w:pStyle w:val="ListBullet"/>
      </w:pPr>
      <w:r>
        <w:t>Assess a provider vulnerability group once even when multiple ports/findings exist.</w:t>
      </w:r>
    </w:p>
    <w:p>
      <w:pPr>
        <w:pStyle w:val="ListBullet"/>
      </w:pPr>
      <w:r>
        <w:t>Keep manual weaknesses separate from scanner evidence.</w:t>
      </w:r>
    </w:p>
    <w:p>
      <w:pPr>
        <w:pStyle w:val="ListBullet"/>
      </w:pPr>
      <w:r>
        <w:t>Use linked/not-linked/partial filters to verify relationship state.</w:t>
      </w:r>
    </w:p>
    <w:p>
      <w:pPr>
        <w:pStyle w:val="ListBullet"/>
      </w:pPr>
      <w:r>
        <w:t>A finding without a CVE may still be valid technical evidence.</w:t>
      </w:r>
    </w:p>
    <w:p>
      <w:pPr>
        <w:pStyle w:val="Heading1"/>
      </w:pPr>
      <w:r>
        <w:t>8. Evaluate and treat the Risk</w:t>
      </w:r>
    </w:p>
    <w:p>
      <w:pPr>
        <w:ind w:left="216"/>
      </w:pPr>
      <w:r>
        <w:rPr>
          <w:b/>
        </w:rPr>
        <w:t xml:space="preserve">1. </w:t>
      </w:r>
      <w:r>
        <w:t>Review the assessed score and configured acceptance band.</w:t>
      </w:r>
    </w:p>
    <w:p>
      <w:pPr>
        <w:ind w:left="216"/>
      </w:pPr>
      <w:r>
        <w:rPr>
          <w:b/>
        </w:rPr>
        <w:t xml:space="preserve">2. </w:t>
      </w:r>
      <w:r>
        <w:t>Compare the result with Category appetite and tolerance.</w:t>
      </w:r>
    </w:p>
    <w:p>
      <w:pPr>
        <w:ind w:left="216"/>
      </w:pPr>
      <w:r>
        <w:rPr>
          <w:b/>
        </w:rPr>
        <w:t xml:space="preserve">3. </w:t>
      </w:r>
      <w:r>
        <w:t>Choose the justified primary treatment: Mitigate, Accept, Transfer, Avoid, Monitor or Escalate.</w:t>
      </w:r>
    </w:p>
    <w:p>
      <w:pPr>
        <w:ind w:left="216"/>
      </w:pPr>
      <w:r>
        <w:rPr>
          <w:b/>
        </w:rPr>
        <w:t xml:space="preserve">4. </w:t>
      </w:r>
      <w:r>
        <w:t>Create actions/Controls/Policies/evidence that implement the treatment.</w:t>
      </w:r>
    </w:p>
    <w:p>
      <w:pPr>
        <w:ind w:left="216"/>
      </w:pPr>
      <w:r>
        <w:rPr>
          <w:b/>
        </w:rPr>
        <w:t xml:space="preserve">5. </w:t>
      </w:r>
      <w:r>
        <w:t>Recalculate/review residual exposure and decision rationale.</w:t>
      </w:r>
    </w:p>
    <w:p>
      <w:pPr>
        <w:ind w:left="216"/>
      </w:pPr>
      <w:r>
        <w:rPr>
          <w:b/>
        </w:rPr>
        <w:t xml:space="preserve">6. </w:t>
      </w:r>
      <w:r>
        <w:t>Use the exception path where governance requires approval.</w:t>
      </w:r>
    </w:p>
    <w:p>
      <w:pPr>
        <w:pStyle w:val="Heading1"/>
      </w:pPr>
      <w:r>
        <w:t>9. Complete and preserve the first assessment</w:t>
      </w:r>
    </w:p>
    <w:p>
      <w:r>
        <w:t>Completion freezes the assessment version. Technical findings and their exploitability/control-effectiveness/uncertainty values are snapshotted with the assessment so later scanner changes do not rewrite history.</w:t>
      </w:r>
    </w:p>
    <w:p>
      <w:pPr>
        <w:pStyle w:val="ListBullet"/>
      </w:pPr>
      <w:r>
        <w:t>Confirm no required factor is left incomplete.</w:t>
      </w:r>
    </w:p>
    <w:p>
      <w:pPr>
        <w:pStyle w:val="ListBullet"/>
      </w:pPr>
      <w:r>
        <w:t>Confirm current Controls are not confused with planned treatment.</w:t>
      </w:r>
    </w:p>
    <w:p>
      <w:pPr>
        <w:pStyle w:val="ListBullet"/>
      </w:pPr>
      <w:r>
        <w:t>Confirm residual/decision state meets completion rules.</w:t>
      </w:r>
    </w:p>
    <w:p>
      <w:pPr>
        <w:pStyle w:val="ListBullet"/>
      </w:pPr>
      <w:r>
        <w:t>Complete the assessment and inspect the read-only historical view.</w:t>
      </w:r>
    </w:p>
    <w:p>
      <w:pPr>
        <w:pStyle w:val="ListBullet"/>
      </w:pPr>
      <w:r>
        <w:t>Verify the Asset assessment/review cadence updates as expected.</w:t>
      </w:r>
    </w:p>
    <w:p>
      <w:pPr>
        <w:pStyle w:val="Heading1"/>
      </w:pPr>
      <w:r>
        <w:t>10. Start and complete reassessment</w:t>
      </w:r>
    </w:p>
    <w:p>
      <w:pPr>
        <w:ind w:left="216"/>
      </w:pPr>
      <w:r>
        <w:rPr>
          <w:b/>
        </w:rPr>
        <w:t xml:space="preserve">1. </w:t>
      </w:r>
      <w:r>
        <w:t>Link newly discovered technical evidence to the still-active Risk as it becomes relevant.</w:t>
      </w:r>
    </w:p>
    <w:p>
      <w:pPr>
        <w:ind w:left="216"/>
      </w:pPr>
      <w:r>
        <w:rPr>
          <w:b/>
        </w:rPr>
        <w:t xml:space="preserve">2. </w:t>
      </w:r>
      <w:r>
        <w:t>Select Reassess Risk; confirm a new editable analysis version is created.</w:t>
      </w:r>
    </w:p>
    <w:p>
      <w:pPr>
        <w:ind w:left="216"/>
      </w:pPr>
      <w:r>
        <w:rPr>
          <w:b/>
        </w:rPr>
        <w:t xml:space="preserve">3. </w:t>
      </w:r>
      <w:r>
        <w:t>Verify Technical Exposure shows current live linked findings, not the old historical snapshot.</w:t>
      </w:r>
    </w:p>
    <w:p>
      <w:pPr>
        <w:ind w:left="216"/>
      </w:pPr>
      <w:r>
        <w:rPr>
          <w:b/>
        </w:rPr>
        <w:t xml:space="preserve">4. </w:t>
      </w:r>
      <w:r>
        <w:t>Update threats, manual weaknesses, current controls and technical-vulnerability factors.</w:t>
      </w:r>
    </w:p>
    <w:p>
      <w:pPr>
        <w:ind w:left="216"/>
      </w:pPr>
      <w:r>
        <w:rPr>
          <w:b/>
        </w:rPr>
        <w:t xml:space="preserve">5. </w:t>
      </w:r>
      <w:r>
        <w:t>Evaluate/treat under current conditions and complete the new version.</w:t>
      </w:r>
    </w:p>
    <w:p>
      <w:pPr>
        <w:ind w:left="216"/>
      </w:pPr>
      <w:r>
        <w:rPr>
          <w:b/>
        </w:rPr>
        <w:t xml:space="preserve">6. </w:t>
      </w:r>
      <w:r>
        <w:t>Confirm the prior completed assessment remains unchanged.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5F0F8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Live versus historical: </w:t>
            </w:r>
            <w:r>
              <w:t>A working reassessment has an analysis ID but still reads live technical links at snapshot_key=0. Only an explicitly completed/historical view should read the frozen technical snapshot.</w:t>
            </w:r>
          </w:p>
        </w:tc>
      </w:tr>
    </w:tbl>
    <w:p/>
    <w:p>
      <w:pPr>
        <w:pStyle w:val="Heading1"/>
      </w:pPr>
      <w:r>
        <w:t>11. Use FAIR where financial quantification is required</w:t>
      </w:r>
    </w:p>
    <w:p>
      <w:r>
        <w:t>Use FAIR for a specific threat scenario where the decision benefits from financial frequency/loss modelling. Do not substitute the qualitative Technical Exposure factor model for FAIR vulnerability inputs. Keep each FAIR scenario focused on one defined threat/consequence.</w:t>
      </w:r>
    </w:p>
    <w:p>
      <w:pPr>
        <w:pStyle w:val="ListBullet"/>
      </w:pPr>
      <w:r>
        <w:t>Estimate threat event frequency and vulnerability.</w:t>
      </w:r>
    </w:p>
    <w:p>
      <w:pPr>
        <w:pStyle w:val="ListBullet"/>
      </w:pPr>
      <w:r>
        <w:t>Estimate loss magnitude using defensible ranges.</w:t>
      </w:r>
    </w:p>
    <w:p>
      <w:pPr>
        <w:pStyle w:val="ListBullet"/>
      </w:pPr>
      <w:r>
        <w:t>Run/interpret Monte Carlo output.</w:t>
      </w:r>
    </w:p>
    <w:p>
      <w:pPr>
        <w:pStyle w:val="ListBullet"/>
      </w:pPr>
      <w:r>
        <w:t>Compare expected/residual loss with financial appetite/tolerance.</w:t>
      </w:r>
    </w:p>
    <w:p>
      <w:pPr>
        <w:pStyle w:val="ListBullet"/>
      </w:pPr>
      <w:r>
        <w:t>Treat/transfer/accept under FAIR governance rules.</w:t>
      </w:r>
    </w:p>
    <w:p>
      <w:pPr>
        <w:pStyle w:val="Heading1"/>
      </w:pPr>
      <w:r>
        <w:t>12. Govern exceptions and lifecycle</w:t>
      </w:r>
    </w:p>
    <w:p>
      <w:pPr>
        <w:pStyle w:val="ListBullet"/>
      </w:pPr>
      <w:r>
        <w:t>Use exception workflow for governed departures rather than bypassing appetite/tolerance.</w:t>
      </w:r>
    </w:p>
    <w:p>
      <w:pPr>
        <w:pStyle w:val="ListBullet"/>
      </w:pPr>
      <w:r>
        <w:t>Do not close a Risk merely because linked technical findings are resolved.</w:t>
      </w:r>
    </w:p>
    <w:p>
      <w:pPr>
        <w:pStyle w:val="ListBullet"/>
      </w:pPr>
      <w:r>
        <w:t>Close/archive only when Risk lifecycle criteria are met.</w:t>
      </w:r>
    </w:p>
    <w:p>
      <w:pPr>
        <w:pStyle w:val="ListBullet"/>
      </w:pPr>
      <w:r>
        <w:t>Review approved exceptions on schedule and renew/reassess deliberately.</w:t>
      </w:r>
    </w:p>
    <w:p>
      <w:pPr>
        <w:pStyle w:val="Heading1"/>
      </w:pPr>
      <w:r>
        <w:t>13. Use dashboards, graph and PurpAI</w:t>
      </w:r>
    </w:p>
    <w:p>
      <w:r>
        <w:t>Dashboards and Risk Graph are management/navigation views over authoritative records. PurpAI is advisory and read-only. Use them to explain and navigate posture, not to replace assessment calculations or approval decisions.</w:t>
      </w:r>
    </w:p>
    <w:p>
      <w:pPr>
        <w:pStyle w:val="Heading1"/>
      </w:pPr>
      <w:r>
        <w:t>14. Example 30/60/90-day rollout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Period</w:t>
            </w:r>
          </w:p>
        </w:tc>
        <w:tc>
          <w:tcPr>
            <w:tcW w:type="dxa" w:w="3293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Focus</w:t>
            </w:r>
          </w:p>
        </w:tc>
        <w:tc>
          <w:tcPr>
            <w:tcW w:type="dxa" w:w="3293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Exit condition</w:t>
            </w:r>
          </w:p>
        </w:tc>
      </w:tr>
      <w:tr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Days 1–30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Governance config, roles, categories, criteria, appetite/tolerance, pilot Assets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Risk creation and qualitative assessment work end-to-end.</w:t>
            </w:r>
          </w:p>
        </w:tc>
      </w:tr>
      <w:tr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Days 31–60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Treatment/actions/evidence, exceptions, technical exposure, first reassessment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Completed snapshot/reassessment history behaves correctly.</w:t>
            </w:r>
          </w:p>
        </w:tc>
      </w:tr>
      <w:tr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Days 61–90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FAIR pilot, dashboards/graph, management cadence, broader business coverage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Risk programme operates repeatably with accountable owners and review cadence.</w:t>
            </w:r>
          </w:p>
        </w:tc>
      </w:tr>
    </w:tbl>
    <w:p/>
    <w:p>
      <w:pPr>
        <w:pStyle w:val="Heading1"/>
      </w:pPr>
      <w:r>
        <w:t>15. Common implementation mistakes</w:t>
      </w:r>
    </w:p>
    <w:p>
      <w:pPr>
        <w:pStyle w:val="ListBullet"/>
      </w:pPr>
      <w:r>
        <w:t>Treating vulnerability findings as one Risk each.</w:t>
      </w:r>
    </w:p>
    <w:p>
      <w:pPr>
        <w:pStyle w:val="ListBullet"/>
      </w:pPr>
      <w:r>
        <w:t>Using provider severity/CVSS as business Risk severity without scenario judgement.</w:t>
      </w:r>
    </w:p>
    <w:p>
      <w:pPr>
        <w:pStyle w:val="ListBullet"/>
      </w:pPr>
      <w:r>
        <w:t>Recording planned remediation as an existing control.</w:t>
      </w:r>
    </w:p>
    <w:p>
      <w:pPr>
        <w:pStyle w:val="ListBullet"/>
      </w:pPr>
      <w:r>
        <w:t>Changing a completed assessment instead of starting reassessment.</w:t>
      </w:r>
    </w:p>
    <w:p>
      <w:pPr>
        <w:pStyle w:val="ListBullet"/>
      </w:pPr>
      <w:r>
        <w:t>Viewing a historical snapshot and assuming current scanner posture is missing.</w:t>
      </w:r>
    </w:p>
    <w:p>
      <w:pPr>
        <w:pStyle w:val="ListBullet"/>
      </w:pPr>
      <w:r>
        <w:t>Closing Risk automatically when technical findings resolve.</w:t>
      </w:r>
    </w:p>
    <w:p>
      <w:pPr>
        <w:pStyle w:val="ListBullet"/>
      </w:pPr>
      <w:r>
        <w:t>Using FAIR for a vague multi-threat scenario.</w:t>
      </w:r>
    </w:p>
    <w:p>
      <w:pPr>
        <w:pStyle w:val="ListBullet"/>
      </w:pPr>
      <w:r>
        <w:t>Accepting above-threshold Risk without following the exception path.</w:t>
      </w:r>
    </w:p>
    <w:p>
      <w:pPr>
        <w:pStyle w:val="Heading1"/>
      </w:pPr>
      <w:r>
        <w:t>16. First-production acceptance test</w:t>
      </w:r>
    </w:p>
    <w:p>
      <w:pPr>
        <w:pStyle w:val="ListBullet"/>
      </w:pPr>
      <w:r>
        <w:t>Create Risk from Register and from selected Asset technical evidence.</w:t>
      </w:r>
    </w:p>
    <w:p>
      <w:pPr>
        <w:pStyle w:val="ListBullet"/>
      </w:pPr>
      <w:r>
        <w:t>Complete qualitative assessment with manual weaknesses + technical exposure.</w:t>
      </w:r>
    </w:p>
    <w:p>
      <w:pPr>
        <w:pStyle w:val="ListBullet"/>
      </w:pPr>
      <w:r>
        <w:t>Edit/save technical factors and confirm working scenario responds.</w:t>
      </w:r>
    </w:p>
    <w:p>
      <w:pPr>
        <w:pStyle w:val="ListBullet"/>
      </w:pPr>
      <w:r>
        <w:t>Complete and verify frozen technical snapshot.</w:t>
      </w:r>
    </w:p>
    <w:p>
      <w:pPr>
        <w:pStyle w:val="ListBullet"/>
      </w:pPr>
      <w:r>
        <w:t>Link a new finding, start reassessment and verify current live evidence appears.</w:t>
      </w:r>
    </w:p>
    <w:p>
      <w:pPr>
        <w:pStyle w:val="ListBullet"/>
      </w:pPr>
      <w:r>
        <w:t>Complete reassessment and compare v1/v2 history.</w:t>
      </w:r>
    </w:p>
    <w:p>
      <w:pPr>
        <w:pStyle w:val="ListBullet"/>
      </w:pPr>
      <w:r>
        <w:t>Exercise treatment, exception, close/archive and permissions.</w:t>
      </w:r>
    </w:p>
    <w:p>
      <w:pPr>
        <w:pStyle w:val="ListBullet"/>
      </w:pPr>
      <w:r>
        <w:t>Run one FAIR scenario and validate financial outputs/decision flow.</w:t>
      </w:r>
    </w:p>
    <w:p>
      <w:pPr>
        <w:pStyle w:val="Heading1"/>
      </w:pPr>
      <w:r>
        <w:t>17. Master checklist</w:t>
      </w:r>
    </w:p>
    <w:p>
      <w:pPr>
        <w:pStyle w:val="ListBullet"/>
      </w:pPr>
      <w:r>
        <w:t>Roles/capabilities and Risk licence confirmed.</w:t>
      </w:r>
    </w:p>
    <w:p>
      <w:pPr>
        <w:pStyle w:val="ListBullet"/>
      </w:pPr>
      <w:r>
        <w:t>Categories/criteria/appetite/tolerance configured.</w:t>
      </w:r>
    </w:p>
    <w:p>
      <w:pPr>
        <w:pStyle w:val="ListBullet"/>
      </w:pPr>
      <w:r>
        <w:t>Pilot Asset context trustworthy.</w:t>
      </w:r>
    </w:p>
    <w:p>
      <w:pPr>
        <w:pStyle w:val="ListBullet"/>
      </w:pPr>
      <w:r>
        <w:t>Current Controls available.</w:t>
      </w:r>
    </w:p>
    <w:p>
      <w:pPr>
        <w:pStyle w:val="ListBullet"/>
      </w:pPr>
      <w:r>
        <w:t>Risk creation and duplicate rule understood.</w:t>
      </w:r>
    </w:p>
    <w:p>
      <w:pPr>
        <w:pStyle w:val="ListBullet"/>
      </w:pPr>
      <w:r>
        <w:t>Qualitative workflow accepted.</w:t>
      </w:r>
    </w:p>
    <w:p>
      <w:pPr>
        <w:pStyle w:val="ListBullet"/>
      </w:pPr>
      <w:r>
        <w:t>Technical Exposure/linking/factors accepted.</w:t>
      </w:r>
    </w:p>
    <w:p>
      <w:pPr>
        <w:pStyle w:val="ListBullet"/>
      </w:pPr>
      <w:r>
        <w:t>Completion snapshots accepted.</w:t>
      </w:r>
    </w:p>
    <w:p>
      <w:pPr>
        <w:pStyle w:val="ListBullet"/>
      </w:pPr>
      <w:r>
        <w:t>Reassessment live-versus-historical behaviour accepted.</w:t>
      </w:r>
    </w:p>
    <w:p>
      <w:pPr>
        <w:pStyle w:val="ListBullet"/>
      </w:pPr>
      <w:r>
        <w:t>Treatment/exception/lifecycle accepted.</w:t>
      </w:r>
    </w:p>
    <w:p>
      <w:pPr>
        <w:pStyle w:val="ListBullet"/>
      </w:pPr>
      <w:r>
        <w:t>FAIR pilot accepted where in scope.</w:t>
      </w:r>
    </w:p>
    <w:p>
      <w:pPr>
        <w:pStyle w:val="ListBullet"/>
      </w:pPr>
      <w:r>
        <w:t>Operating/review cadence and escalation owner documented.</w:t>
      </w:r>
    </w:p>
    <w:p>
      <w:pPr>
        <w:pStyle w:val="ListBullet"/>
      </w:pPr>
      <w:r>
        <w:t>Help Centre and technical documentation distributed.</w:t>
      </w:r>
    </w:p>
    <w:p>
      <w:pPr>
        <w:pStyle w:val="Heading1"/>
      </w:pPr>
      <w:r>
        <w:t>18. Source baseline</w:t>
      </w:r>
    </w:p>
    <w:p>
      <w:pPr>
        <w:pStyle w:val="ListBullet"/>
      </w:pPr>
      <w:r>
        <w:t>PurpleWASP Risk Management Technical Documentation v2.0.</w:t>
      </w:r>
    </w:p>
    <w:p>
      <w:pPr>
        <w:pStyle w:val="ListBullet"/>
      </w:pPr>
      <w:r>
        <w:t>Current Risk Management web package supplied 21 September 2026.</w:t>
      </w:r>
    </w:p>
    <w:p>
      <w:pPr>
        <w:pStyle w:val="ListBullet"/>
      </w:pPr>
      <w:r>
        <w:t>Current Asset technical-finding/link workflow and production-tested Qualys ingestion baseline.</w:t>
      </w:r>
    </w:p>
    <w:p>
      <w:pPr>
        <w:pStyle w:val="ListBullet"/>
      </w:pPr>
      <w:r>
        <w:t>Current reassessment live-view and technical snapshot behaviour accepted during implementation work.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>PurpleWASP  |  Framework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B098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E203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4B098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E20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WSmall">
    <w:name w:val="PW Small"/>
    <w:rPr>
      <w:rFonts w:ascii="Arial" w:hAnsi="Arial"/>
      <w:color w:val="666666"/>
      <w:sz w:val="16"/>
    </w:rPr>
  </w:style>
  <w:style w:type="paragraph" w:customStyle="1" w:styleId="PWCallout">
    <w:name w:val="PW Callout"/>
    <w:rPr>
      <w:rFonts w:ascii="Arial" w:hAnsi="Arial"/>
      <w:b/>
      <w:color w:val="2E203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PurpleWASP Risk Management First-Time Implementation Handbook</dc:title>
  <dc:subject>PurpleWASP CIS Controls v8.1 implementation handbook</dc:subject>
  <dc:creator>PurpleWASP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