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800" w:after="360"/>
        <w:jc w:val="center"/>
      </w:pPr>
      <w:r>
        <w:rPr>
          <w:rFonts w:ascii="Aptos" w:hAnsi="Aptos"/>
          <w:b/>
          <w:color w:val="4B0983"/>
          <w:sz w:val="36"/>
        </w:rPr>
        <w:t>PurpleWASP</w:t>
      </w:r>
    </w:p>
    <w:p>
      <w:pPr>
        <w:jc w:val="center"/>
      </w:pPr>
      <w:r>
        <w:rPr>
          <w:rFonts w:ascii="Aptos" w:hAnsi="Aptos"/>
          <w:b/>
          <w:color w:val="24152E"/>
          <w:sz w:val="60"/>
        </w:rPr>
        <w:t>SOC 2 Implementation &amp; Readiness Guide</w:t>
      </w:r>
    </w:p>
    <w:p>
      <w:pPr>
        <w:jc w:val="center"/>
      </w:pPr>
      <w:r>
        <w:rPr>
          <w:rFonts w:ascii="Aptos" w:hAnsi="Aptos"/>
          <w:color w:val="6B6470"/>
          <w:sz w:val="26"/>
        </w:rPr>
        <w:t>End-to-end operating manual for organisations new to SOC 2 and for experienced compliance teams using PurpleWASP</w:t>
      </w:r>
    </w:p>
    <w:p>
      <w:pPr>
        <w:spacing w:before="560"/>
        <w:jc w:val="center"/>
      </w:pPr>
      <w:r>
        <w:rPr>
          <w:rFonts w:ascii="Aptos" w:hAnsi="Aptos"/>
          <w:b/>
          <w:color w:val="4B0983"/>
          <w:sz w:val="21"/>
        </w:rPr>
        <w:t>Version 1.0 | September 2026</w:t>
      </w:r>
    </w:p>
    <w:p>
      <w:pPr>
        <w:jc w:val="center"/>
      </w:pPr>
      <w:r>
        <w:rPr>
          <w:rFonts w:ascii="Aptos" w:hAnsi="Aptos"/>
          <w:color w:val="6B6470"/>
          <w:sz w:val="19"/>
        </w:rPr>
        <w:t>Product baseline: PurpleWASP SOC 2 Core v1 readiness workflow</w:t>
      </w:r>
    </w:p>
    <w:tbl>
      <w:tblPr>
        <w:tblW w:type="auto" w:w="0"/>
        <w:jc w:val="center"/>
        <w:tblLook w:firstColumn="1" w:firstRow="1" w:lastColumn="0" w:lastRow="0" w:noHBand="0" w:noVBand="1" w:val="04A0"/>
      </w:tblPr>
      <w:tblGrid>
        <w:gridCol w:w="9994"/>
      </w:tblGrid>
      <w:tr>
        <w:tc>
          <w:tcPr>
            <w:tcW w:type="dxa" w:w="9994"/>
            <w:shd w:fill="F5EFFB"/>
            <w:tcBorders>
              <w:top w:val="single" w:sz="6" w:color="4B0983"/>
              <w:left w:val="single" w:sz="6" w:color="4B0983"/>
              <w:bottom w:val="single" w:sz="6" w:color="4B0983"/>
              <w:right w:val="single" w:sz="6" w:color="4B0983"/>
            </w:tcBorders>
          </w:tcPr>
          <w:p>
            <w:pPr>
              <w:jc w:val="center"/>
            </w:pPr>
            <w:r>
              <w:rPr>
                <w:rFonts w:ascii="Aptos" w:hAnsi="Aptos"/>
                <w:b/>
                <w:color w:val="4B0983"/>
                <w:sz w:val="21"/>
              </w:rPr>
              <w:t>Purpose</w:t>
            </w:r>
          </w:p>
          <w:p>
            <w:pPr>
              <w:jc w:val="center"/>
            </w:pPr>
            <w:r>
              <w:rPr>
                <w:rFonts w:ascii="Aptos" w:hAnsi="Aptos"/>
                <w:sz w:val="19"/>
              </w:rPr>
              <w:t>Use this guide to scope a SOC 2 engagement, select and operate controls, collect evidence, record tests, manage exceptions and issues, reach a documented readiness conclusion, and prepare for a CPA/service-auditor examination.</w:t>
            </w:r>
          </w:p>
        </w:tc>
      </w:tr>
    </w:tbl>
    <w:p>
      <w:r>
        <w:br w:type="page"/>
      </w:r>
    </w:p>
    <w:p>
      <w:pPr>
        <w:pStyle w:val="Heading1"/>
      </w:pPr>
      <w:r>
        <w:rPr>
          <w:rFonts w:ascii="Aptos" w:hAnsi="Aptos"/>
          <w:b/>
          <w:color w:val="4B0983"/>
          <w:sz w:val="38"/>
        </w:rPr>
        <w:t>Document status, scope and important boundary</w:t>
      </w:r>
    </w:p>
    <w:tbl>
      <w:tblPr>
        <w:tblW w:type="auto" w:w="0"/>
        <w:jc w:val="center"/>
        <w:tblLayout w:type="autofit"/>
        <w:tblLook w:firstColumn="1" w:firstRow="1" w:lastColumn="0" w:lastRow="0" w:noHBand="0" w:noVBand="1" w:val="04A0"/>
      </w:tblPr>
      <w:tblGrid>
        <w:gridCol w:w="9994"/>
      </w:tblGrid>
      <w:tr>
        <w:tc>
          <w:tcPr>
            <w:tcW w:type="dxa" w:w="9994"/>
            <w:shd w:fill="FFF7E6"/>
            <w:tcBorders>
              <w:top w:val="nil"/>
              <w:left w:val="single" w:sz="18" w:color="A46400"/>
              <w:bottom w:val="nil"/>
              <w:right w:val="nil"/>
            </w:tcBorders>
          </w:tcPr>
          <w:p>
            <w:pPr>
              <w:spacing w:after="60"/>
            </w:pPr>
            <w:r>
              <w:rPr>
                <w:rFonts w:ascii="Aptos" w:hAnsi="Aptos"/>
                <w:b/>
                <w:color w:val="A46400"/>
                <w:sz w:val="21"/>
              </w:rPr>
              <w:t>Important: PurpleWASP supports SOC 2 readiness; it does not issue a SOC 2 report.</w:t>
            </w:r>
          </w:p>
          <w:p>
            <w:pPr>
              <w:spacing w:after="0"/>
            </w:pPr>
            <w:r>
              <w:rPr>
                <w:rFonts w:ascii="Aptos" w:hAnsi="Aptos"/>
                <w:sz w:val="19"/>
              </w:rPr>
              <w:t>A SOC 2 examination and report are performed by an independent CPA/service auditor under the AICPA SOC framework. PurpleWASP is the system of record for scoping, control coverage, implementation, assessments, evidence, testing, remediation and management/assessor readiness decisions.</w:t>
            </w:r>
          </w:p>
        </w:tc>
      </w:tr>
    </w:tbl>
    <w:p>
      <w:pPr>
        <w:spacing w:after="20"/>
      </w:pPr>
    </w:p>
    <w:p>
      <w:pPr>
        <w:spacing w:after="100"/>
      </w:pPr>
      <w:r>
        <w:rPr>
          <w:rFonts w:ascii="Aptos" w:hAnsi="Aptos"/>
        </w:rPr>
        <w:t>This manual documents the current PurpleWASP SOC 2 user journey as implemented in the SOC 2 Core v1 workspace. It is deliberately written for a reader who may never have completed SOC 2 before. Technical database implementation, migrations and developer-level API details are outside the main user journey except where a product limitation materially affects how a user should interpret the screen.</w:t>
      </w:r>
    </w:p>
    <w:p>
      <w:pPr>
        <w:spacing w:after="100"/>
      </w:pPr>
      <w:r>
        <w:rPr>
          <w:rFonts w:ascii="Aptos" w:hAnsi="Aptos"/>
        </w:rPr>
        <w:t>The screen images in this guide are UI reference illustrations reconstructed from the current page structure and field names. They use sample data and are not captures from a live tenant. Replace them with production screenshots before publishing this document externally if exact tenant branding or data is required.</w:t>
      </w:r>
    </w:p>
    <w:tbl>
      <w:tblPr>
        <w:tblStyle w:val="TableGrid"/>
        <w:tblW w:type="auto" w:w="0"/>
        <w:jc w:val="center"/>
        <w:tblLook w:firstColumn="1" w:firstRow="1" w:lastColumn="0" w:lastRow="0" w:noHBand="0" w:noVBand="1" w:val="04A0"/>
      </w:tblPr>
      <w:tblGrid>
        <w:gridCol w:w="4997"/>
        <w:gridCol w:w="4997"/>
      </w:tblGrid>
      <w:tr>
        <w:tc>
          <w:tcPr>
            <w:tcW w:type="dxa" w:w="2232"/>
            <w:shd w:fill="4B0983"/>
            <w:vAlign w:val="center"/>
          </w:tcPr>
          <w:p>
            <w:pPr>
              <w:jc w:val="left"/>
            </w:pPr>
            <w:r>
              <w:rPr>
                <w:rFonts w:ascii="Aptos" w:hAnsi="Aptos"/>
                <w:b/>
                <w:color w:val="FFFFFF"/>
                <w:sz w:val="17"/>
              </w:rPr>
              <w:t>Document item</w:t>
            </w:r>
          </w:p>
        </w:tc>
        <w:tc>
          <w:tcPr>
            <w:tcW w:type="dxa" w:w="7488"/>
            <w:shd w:fill="4B0983"/>
            <w:vAlign w:val="center"/>
          </w:tcPr>
          <w:p>
            <w:pPr>
              <w:jc w:val="left"/>
            </w:pPr>
            <w:r>
              <w:rPr>
                <w:rFonts w:ascii="Aptos" w:hAnsi="Aptos"/>
                <w:b/>
                <w:color w:val="FFFFFF"/>
                <w:sz w:val="17"/>
              </w:rPr>
              <w:t>Value</w:t>
            </w:r>
          </w:p>
        </w:tc>
      </w:tr>
      <w:tr>
        <w:tc>
          <w:tcPr>
            <w:tcW w:type="dxa" w:w="2232"/>
            <w:vAlign w:val="top"/>
            <w:tcBorders>
              <w:top w:val="single" w:sz="4" w:color="D8D2DE"/>
              <w:left w:val="single" w:sz="4" w:color="D8D2DE"/>
              <w:bottom w:val="single" w:sz="4" w:color="D8D2DE"/>
              <w:right w:val="single" w:sz="4" w:color="D8D2DE"/>
            </w:tcBorders>
          </w:tcPr>
          <w:p>
            <w:r>
              <w:rPr>
                <w:rFonts w:ascii="Aptos" w:hAnsi="Aptos"/>
                <w:sz w:val="17"/>
              </w:rPr>
              <w:t>Audience</w:t>
            </w:r>
          </w:p>
        </w:tc>
        <w:tc>
          <w:tcPr>
            <w:tcW w:type="dxa" w:w="7488"/>
            <w:vAlign w:val="top"/>
            <w:tcBorders>
              <w:top w:val="single" w:sz="4" w:color="D8D2DE"/>
              <w:left w:val="single" w:sz="4" w:color="D8D2DE"/>
              <w:bottom w:val="single" w:sz="4" w:color="D8D2DE"/>
              <w:right w:val="single" w:sz="4" w:color="D8D2DE"/>
            </w:tcBorders>
          </w:tcPr>
          <w:p>
            <w:r>
              <w:rPr>
                <w:rFonts w:ascii="Aptos" w:hAnsi="Aptos"/>
                <w:sz w:val="17"/>
              </w:rPr>
              <w:t>Service-organisation management, compliance leads, control owners, assessors, evidence owners, security/IT teams and implementation consultants.</w:t>
            </w:r>
          </w:p>
        </w:tc>
      </w:tr>
      <w:tr>
        <w:tc>
          <w:tcPr>
            <w:tcW w:type="dxa" w:w="2232"/>
            <w:vAlign w:val="top"/>
            <w:tcBorders>
              <w:top w:val="single" w:sz="4" w:color="D8D2DE"/>
              <w:left w:val="single" w:sz="4" w:color="D8D2DE"/>
              <w:bottom w:val="single" w:sz="4" w:color="D8D2DE"/>
              <w:right w:val="single" w:sz="4" w:color="D8D2DE"/>
            </w:tcBorders>
          </w:tcPr>
          <w:p>
            <w:r>
              <w:rPr>
                <w:rFonts w:ascii="Aptos" w:hAnsi="Aptos"/>
                <w:sz w:val="17"/>
              </w:rPr>
              <w:t>Primary objective</w:t>
            </w:r>
          </w:p>
        </w:tc>
        <w:tc>
          <w:tcPr>
            <w:tcW w:type="dxa" w:w="7488"/>
            <w:vAlign w:val="top"/>
            <w:tcBorders>
              <w:top w:val="single" w:sz="4" w:color="D8D2DE"/>
              <w:left w:val="single" w:sz="4" w:color="D8D2DE"/>
              <w:bottom w:val="single" w:sz="4" w:color="D8D2DE"/>
              <w:right w:val="single" w:sz="4" w:color="D8D2DE"/>
            </w:tcBorders>
          </w:tcPr>
          <w:p>
            <w:r>
              <w:rPr>
                <w:rFonts w:ascii="Aptos" w:hAnsi="Aptos"/>
                <w:sz w:val="17"/>
              </w:rPr>
              <w:t>Move from initial SOC 2 scoping to a documented, defensible readiness state inside PurpleWASP.</w:t>
            </w:r>
          </w:p>
        </w:tc>
      </w:tr>
      <w:tr>
        <w:tc>
          <w:tcPr>
            <w:tcW w:type="dxa" w:w="2232"/>
            <w:vAlign w:val="top"/>
            <w:tcBorders>
              <w:top w:val="single" w:sz="4" w:color="D8D2DE"/>
              <w:left w:val="single" w:sz="4" w:color="D8D2DE"/>
              <w:bottom w:val="single" w:sz="4" w:color="D8D2DE"/>
              <w:right w:val="single" w:sz="4" w:color="D8D2DE"/>
            </w:tcBorders>
          </w:tcPr>
          <w:p>
            <w:r>
              <w:rPr>
                <w:rFonts w:ascii="Aptos" w:hAnsi="Aptos"/>
                <w:sz w:val="17"/>
              </w:rPr>
              <w:t>Current product scope</w:t>
            </w:r>
          </w:p>
        </w:tc>
        <w:tc>
          <w:tcPr>
            <w:tcW w:type="dxa" w:w="7488"/>
            <w:vAlign w:val="top"/>
            <w:tcBorders>
              <w:top w:val="single" w:sz="4" w:color="D8D2DE"/>
              <w:left w:val="single" w:sz="4" w:color="D8D2DE"/>
              <w:bottom w:val="single" w:sz="4" w:color="D8D2DE"/>
              <w:right w:val="single" w:sz="4" w:color="D8D2DE"/>
            </w:tcBorders>
          </w:tcPr>
          <w:p>
            <w:r>
              <w:rPr>
                <w:rFonts w:ascii="Aptos" w:hAnsi="Aptos"/>
                <w:sz w:val="17"/>
              </w:rPr>
              <w:t>Security baseline plus optional Availability, Processing Integrity, Confidentiality and Privacy; engagement scope; control mapping/selection; implementation; assessments; evidence; testing; issues/exceptions; control/criterion/engagement readiness.</w:t>
            </w:r>
          </w:p>
        </w:tc>
      </w:tr>
      <w:tr>
        <w:tc>
          <w:tcPr>
            <w:tcW w:type="dxa" w:w="2232"/>
            <w:vAlign w:val="top"/>
            <w:tcBorders>
              <w:top w:val="single" w:sz="4" w:color="D8D2DE"/>
              <w:left w:val="single" w:sz="4" w:color="D8D2DE"/>
              <w:bottom w:val="single" w:sz="4" w:color="D8D2DE"/>
              <w:right w:val="single" w:sz="4" w:color="D8D2DE"/>
            </w:tcBorders>
          </w:tcPr>
          <w:p>
            <w:r>
              <w:rPr>
                <w:rFonts w:ascii="Aptos" w:hAnsi="Aptos"/>
                <w:sz w:val="17"/>
              </w:rPr>
              <w:t>External dependency</w:t>
            </w:r>
          </w:p>
        </w:tc>
        <w:tc>
          <w:tcPr>
            <w:tcW w:type="dxa" w:w="7488"/>
            <w:vAlign w:val="top"/>
            <w:tcBorders>
              <w:top w:val="single" w:sz="4" w:color="D8D2DE"/>
              <w:left w:val="single" w:sz="4" w:color="D8D2DE"/>
              <w:bottom w:val="single" w:sz="4" w:color="D8D2DE"/>
              <w:right w:val="single" w:sz="4" w:color="D8D2DE"/>
            </w:tcBorders>
          </w:tcPr>
          <w:p>
            <w:r>
              <w:rPr>
                <w:rFonts w:ascii="Aptos" w:hAnsi="Aptos"/>
                <w:sz w:val="17"/>
              </w:rPr>
              <w:t>A qualified CPA/service auditor remains responsible for the SOC 2 examination and report.</w:t>
            </w:r>
          </w:p>
        </w:tc>
      </w:tr>
      <w:tr>
        <w:tc>
          <w:tcPr>
            <w:tcW w:type="dxa" w:w="2232"/>
            <w:vAlign w:val="top"/>
            <w:tcBorders>
              <w:top w:val="single" w:sz="4" w:color="D8D2DE"/>
              <w:left w:val="single" w:sz="4" w:color="D8D2DE"/>
              <w:bottom w:val="single" w:sz="4" w:color="D8D2DE"/>
              <w:right w:val="single" w:sz="4" w:color="D8D2DE"/>
            </w:tcBorders>
          </w:tcPr>
          <w:p>
            <w:r>
              <w:rPr>
                <w:rFonts w:ascii="Aptos" w:hAnsi="Aptos"/>
                <w:sz w:val="17"/>
              </w:rPr>
              <w:t>Authoritative external basis</w:t>
            </w:r>
          </w:p>
        </w:tc>
        <w:tc>
          <w:tcPr>
            <w:tcW w:type="dxa" w:w="7488"/>
            <w:vAlign w:val="top"/>
            <w:tcBorders>
              <w:top w:val="single" w:sz="4" w:color="D8D2DE"/>
              <w:left w:val="single" w:sz="4" w:color="D8D2DE"/>
              <w:bottom w:val="single" w:sz="4" w:color="D8D2DE"/>
              <w:right w:val="single" w:sz="4" w:color="D8D2DE"/>
            </w:tcBorders>
          </w:tcPr>
          <w:p>
            <w:r>
              <w:rPr>
                <w:rFonts w:ascii="Aptos" w:hAnsi="Aptos"/>
                <w:sz w:val="17"/>
              </w:rPr>
              <w:t>AICPA Trust Services Criteria, SOC 2 Description Criteria and SOC for Service Organizations guidance; see References.</w:t>
            </w:r>
          </w:p>
        </w:tc>
      </w:tr>
    </w:tbl>
    <w:p>
      <w:pPr>
        <w:spacing w:after="20"/>
      </w:pPr>
    </w:p>
    <w:p>
      <w:pPr>
        <w:pStyle w:val="Heading2"/>
      </w:pPr>
      <w:r>
        <w:rPr>
          <w:rFonts w:ascii="Aptos" w:hAnsi="Aptos"/>
          <w:b/>
          <w:color w:val="24152E"/>
          <w:sz w:val="28"/>
        </w:rPr>
        <w:t>How to use this guide</w:t>
      </w:r>
    </w:p>
    <w:p>
      <w:pPr>
        <w:pStyle w:val="ListBullet"/>
        <w:spacing w:after="40"/>
      </w:pPr>
      <w:r>
        <w:rPr>
          <w:rFonts w:ascii="Aptos" w:hAnsi="Aptos"/>
          <w:b/>
        </w:rPr>
        <w:t xml:space="preserve">If you are new to SOC 2: </w:t>
      </w:r>
      <w:r>
        <w:rPr>
          <w:rFonts w:ascii="Aptos" w:hAnsi="Aptos"/>
        </w:rPr>
        <w:t>Read Chapters 1-4 before opening the setup workflow. They explain what the choices mean and what information to gather.</w:t>
      </w:r>
    </w:p>
    <w:p>
      <w:pPr>
        <w:pStyle w:val="ListBullet"/>
        <w:spacing w:after="40"/>
      </w:pPr>
      <w:r>
        <w:rPr>
          <w:rFonts w:ascii="Aptos" w:hAnsi="Aptos"/>
          <w:b/>
        </w:rPr>
        <w:t xml:space="preserve">If your organisation already has a SOC 2 programme: </w:t>
      </w:r>
      <w:r>
        <w:rPr>
          <w:rFonts w:ascii="Aptos" w:hAnsi="Aptos"/>
        </w:rPr>
        <w:t>Start at Chapter 5 and use the page-by-page instructions to configure the current engagement.</w:t>
      </w:r>
    </w:p>
    <w:p>
      <w:pPr>
        <w:pStyle w:val="ListBullet"/>
        <w:spacing w:after="40"/>
      </w:pPr>
      <w:r>
        <w:rPr>
          <w:rFonts w:ascii="Aptos" w:hAnsi="Aptos"/>
          <w:b/>
        </w:rPr>
        <w:t xml:space="preserve">If you are preparing for a Type II examination: </w:t>
      </w:r>
      <w:r>
        <w:rPr>
          <w:rFonts w:ascii="Aptos" w:hAnsi="Aptos"/>
        </w:rPr>
        <w:t>Pay particular attention to evidence source dates, validity windows and actual test execution timestamps. PurpleWASP intentionally separates "recorded in PurpleWASP" from "occurred during the observation period".</w:t>
      </w:r>
    </w:p>
    <w:p>
      <w:pPr>
        <w:pStyle w:val="ListBullet"/>
        <w:spacing w:after="40"/>
      </w:pPr>
      <w:r>
        <w:rPr>
          <w:rFonts w:ascii="Aptos" w:hAnsi="Aptos"/>
          <w:b/>
        </w:rPr>
        <w:t xml:space="preserve">If you are remediating gaps: </w:t>
      </w:r>
      <w:r>
        <w:rPr>
          <w:rFonts w:ascii="Aptos" w:hAnsi="Aptos"/>
        </w:rPr>
        <w:t>Use Chapters 15-18 to trace blockers from operational readiness into issues, exceptions and management decisions.</w:t>
      </w:r>
    </w:p>
    <w:p>
      <w:r>
        <w:br w:type="page"/>
      </w:r>
    </w:p>
    <w:p>
      <w:pPr>
        <w:pStyle w:val="Heading1"/>
      </w:pPr>
      <w:r>
        <w:rPr>
          <w:rFonts w:ascii="Aptos" w:hAnsi="Aptos"/>
          <w:b/>
          <w:color w:val="4B0983"/>
          <w:sz w:val="38"/>
        </w:rPr>
        <w:t>Contents</w:t>
      </w:r>
    </w:p>
    <w:p>
      <w:pPr>
        <w:spacing w:after="40"/>
      </w:pPr>
      <w:r>
        <w:rPr>
          <w:rFonts w:ascii="Aptos" w:hAnsi="Aptos"/>
        </w:rPr>
        <w:t>1. SOC 2 primer for first-time users</w:t>
      </w:r>
    </w:p>
    <w:p>
      <w:pPr>
        <w:spacing w:after="40"/>
      </w:pPr>
      <w:r>
        <w:rPr>
          <w:rFonts w:ascii="Aptos" w:hAnsi="Aptos"/>
        </w:rPr>
        <w:t>2. PurpleWASP SOC 2 lifecycle at a glance</w:t>
      </w:r>
    </w:p>
    <w:p>
      <w:pPr>
        <w:spacing w:after="40"/>
      </w:pPr>
      <w:r>
        <w:rPr>
          <w:rFonts w:ascii="Aptos" w:hAnsi="Aptos"/>
        </w:rPr>
        <w:t>3. Roles and responsibilities</w:t>
      </w:r>
    </w:p>
    <w:p>
      <w:pPr>
        <w:spacing w:after="40"/>
      </w:pPr>
      <w:r>
        <w:rPr>
          <w:rFonts w:ascii="Aptos" w:hAnsi="Aptos"/>
        </w:rPr>
        <w:t>4. What to prepare before you start</w:t>
      </w:r>
    </w:p>
    <w:p>
      <w:pPr>
        <w:spacing w:after="40"/>
      </w:pPr>
      <w:r>
        <w:rPr>
          <w:rFonts w:ascii="Aptos" w:hAnsi="Aptos"/>
        </w:rPr>
        <w:t>5. Accessing the SOC 2 workspace</w:t>
      </w:r>
    </w:p>
    <w:p>
      <w:pPr>
        <w:spacing w:after="40"/>
      </w:pPr>
      <w:r>
        <w:rPr>
          <w:rFonts w:ascii="Aptos" w:hAnsi="Aptos"/>
        </w:rPr>
        <w:t>6. Setup Step 1 - Trust Services scope</w:t>
      </w:r>
    </w:p>
    <w:p>
      <w:pPr>
        <w:spacing w:after="40"/>
      </w:pPr>
      <w:r>
        <w:rPr>
          <w:rFonts w:ascii="Aptos" w:hAnsi="Aptos"/>
        </w:rPr>
        <w:t>7. Setup Step 2 - System boundary discovery</w:t>
      </w:r>
    </w:p>
    <w:p>
      <w:pPr>
        <w:spacing w:after="40"/>
      </w:pPr>
      <w:r>
        <w:rPr>
          <w:rFonts w:ascii="Aptos" w:hAnsi="Aptos"/>
        </w:rPr>
        <w:t>8. Setup Step 3 - Engagement and system scope</w:t>
      </w:r>
    </w:p>
    <w:p>
      <w:pPr>
        <w:spacing w:after="40"/>
      </w:pPr>
      <w:r>
        <w:rPr>
          <w:rFonts w:ascii="Aptos" w:hAnsi="Aptos"/>
        </w:rPr>
        <w:t>9. Setup Step 4 - Review and confirm</w:t>
      </w:r>
    </w:p>
    <w:p>
      <w:pPr>
        <w:spacing w:after="40"/>
      </w:pPr>
      <w:r>
        <w:rPr>
          <w:rFonts w:ascii="Aptos" w:hAnsi="Aptos"/>
        </w:rPr>
        <w:t>10. Using the SOC 2 Engagement Dashboard</w:t>
      </w:r>
    </w:p>
    <w:p>
      <w:pPr>
        <w:spacing w:after="40"/>
      </w:pPr>
      <w:r>
        <w:rPr>
          <w:rFonts w:ascii="Aptos" w:hAnsi="Aptos"/>
        </w:rPr>
        <w:t>11. Criteria / Control Readiness Matrix</w:t>
      </w:r>
    </w:p>
    <w:p>
      <w:pPr>
        <w:spacing w:after="40"/>
      </w:pPr>
      <w:r>
        <w:rPr>
          <w:rFonts w:ascii="Aptos" w:hAnsi="Aptos"/>
        </w:rPr>
        <w:t>12. Adopting controls and building the Control Coverage Plan</w:t>
      </w:r>
    </w:p>
    <w:p>
      <w:pPr>
        <w:spacing w:after="40"/>
      </w:pPr>
      <w:r>
        <w:rPr>
          <w:rFonts w:ascii="Aptos" w:hAnsi="Aptos"/>
        </w:rPr>
        <w:t>13. Control Implementation Workbench</w:t>
      </w:r>
    </w:p>
    <w:p>
      <w:pPr>
        <w:spacing w:after="40"/>
      </w:pPr>
      <w:r>
        <w:rPr>
          <w:rFonts w:ascii="Aptos" w:hAnsi="Aptos"/>
        </w:rPr>
        <w:t>14. Design and Operating Effectiveness Assessments</w:t>
      </w:r>
    </w:p>
    <w:p>
      <w:pPr>
        <w:spacing w:after="40"/>
      </w:pPr>
      <w:r>
        <w:rPr>
          <w:rFonts w:ascii="Aptos" w:hAnsi="Aptos"/>
        </w:rPr>
        <w:t>15. Evidence Requirements &amp; Collection</w:t>
      </w:r>
    </w:p>
    <w:p>
      <w:pPr>
        <w:spacing w:after="40"/>
      </w:pPr>
      <w:r>
        <w:rPr>
          <w:rFonts w:ascii="Aptos" w:hAnsi="Aptos"/>
        </w:rPr>
        <w:t>16. Test Planning &amp; Test Runs</w:t>
      </w:r>
    </w:p>
    <w:p>
      <w:pPr>
        <w:spacing w:after="40"/>
      </w:pPr>
      <w:r>
        <w:rPr>
          <w:rFonts w:ascii="Aptos" w:hAnsi="Aptos"/>
        </w:rPr>
        <w:t>17. Operational Readiness</w:t>
      </w:r>
    </w:p>
    <w:p>
      <w:pPr>
        <w:spacing w:after="40"/>
      </w:pPr>
      <w:r>
        <w:rPr>
          <w:rFonts w:ascii="Aptos" w:hAnsi="Aptos"/>
        </w:rPr>
        <w:t>18. Issues, Exceptions &amp; Control Readiness Decisions</w:t>
      </w:r>
    </w:p>
    <w:p>
      <w:pPr>
        <w:spacing w:after="40"/>
      </w:pPr>
      <w:r>
        <w:rPr>
          <w:rFonts w:ascii="Aptos" w:hAnsi="Aptos"/>
        </w:rPr>
        <w:t>19. Engagement-Level Audit Readiness</w:t>
      </w:r>
    </w:p>
    <w:p>
      <w:pPr>
        <w:spacing w:after="40"/>
      </w:pPr>
      <w:r>
        <w:rPr>
          <w:rFonts w:ascii="Aptos" w:hAnsi="Aptos"/>
        </w:rPr>
        <w:t>20. Type I operating playbook</w:t>
      </w:r>
    </w:p>
    <w:p>
      <w:pPr>
        <w:spacing w:after="40"/>
      </w:pPr>
      <w:r>
        <w:rPr>
          <w:rFonts w:ascii="Aptos" w:hAnsi="Aptos"/>
        </w:rPr>
        <w:t>21. Type II operating playbook</w:t>
      </w:r>
    </w:p>
    <w:p>
      <w:pPr>
        <w:spacing w:after="40"/>
      </w:pPr>
      <w:r>
        <w:rPr>
          <w:rFonts w:ascii="Aptos" w:hAnsi="Aptos"/>
        </w:rPr>
        <w:t>22. Preparing for the service auditor</w:t>
      </w:r>
    </w:p>
    <w:p>
      <w:pPr>
        <w:spacing w:after="40"/>
      </w:pPr>
      <w:r>
        <w:rPr>
          <w:rFonts w:ascii="Aptos" w:hAnsi="Aptos"/>
        </w:rPr>
        <w:t>23. Example: first SOC 2 journey from zero to readiness</w:t>
      </w:r>
    </w:p>
    <w:p>
      <w:pPr>
        <w:spacing w:after="40"/>
      </w:pPr>
      <w:r>
        <w:rPr>
          <w:rFonts w:ascii="Aptos" w:hAnsi="Aptos"/>
        </w:rPr>
        <w:t>24. Recommended operating cadence</w:t>
      </w:r>
    </w:p>
    <w:p>
      <w:pPr>
        <w:spacing w:after="40"/>
      </w:pPr>
      <w:r>
        <w:rPr>
          <w:rFonts w:ascii="Aptos" w:hAnsi="Aptos"/>
        </w:rPr>
        <w:t>25. Common mistakes and how to correct them</w:t>
      </w:r>
    </w:p>
    <w:p>
      <w:pPr>
        <w:spacing w:after="40"/>
      </w:pPr>
      <w:r>
        <w:rPr>
          <w:rFonts w:ascii="Aptos" w:hAnsi="Aptos"/>
        </w:rPr>
        <w:t>26. Troubleshooting and interpretation guide</w:t>
      </w:r>
    </w:p>
    <w:p>
      <w:pPr>
        <w:spacing w:after="40"/>
      </w:pPr>
      <w:r>
        <w:rPr>
          <w:rFonts w:ascii="Aptos" w:hAnsi="Aptos"/>
        </w:rPr>
        <w:t>27. Master implementation checklist</w:t>
      </w:r>
    </w:p>
    <w:p>
      <w:pPr>
        <w:spacing w:after="40"/>
      </w:pPr>
      <w:r>
        <w:rPr>
          <w:rFonts w:ascii="Aptos" w:hAnsi="Aptos"/>
        </w:rPr>
        <w:t>28. Glossary</w:t>
      </w:r>
    </w:p>
    <w:p>
      <w:pPr>
        <w:spacing w:after="40"/>
      </w:pPr>
      <w:r>
        <w:rPr>
          <w:rFonts w:ascii="Aptos" w:hAnsi="Aptos"/>
        </w:rPr>
        <w:t>29. PurpleWASP page reference</w:t>
      </w:r>
    </w:p>
    <w:p>
      <w:pPr>
        <w:spacing w:after="40"/>
      </w:pPr>
      <w:r>
        <w:rPr>
          <w:rFonts w:ascii="Aptos" w:hAnsi="Aptos"/>
        </w:rPr>
        <w:t>30. References</w:t>
      </w:r>
    </w:p>
    <w:p>
      <w:r>
        <w:br w:type="page"/>
      </w:r>
    </w:p>
    <w:p>
      <w:pPr>
        <w:pStyle w:val="Heading1"/>
      </w:pPr>
      <w:r>
        <w:rPr>
          <w:rFonts w:ascii="Aptos" w:hAnsi="Aptos"/>
          <w:b/>
          <w:color w:val="4B0983"/>
          <w:sz w:val="38"/>
        </w:rPr>
        <w:t>1. SOC 2 primer for first-time users</w:t>
      </w:r>
    </w:p>
    <w:p>
      <w:pPr>
        <w:pStyle w:val="Heading2"/>
      </w:pPr>
      <w:r>
        <w:rPr>
          <w:rFonts w:ascii="Aptos" w:hAnsi="Aptos"/>
          <w:b/>
          <w:color w:val="24152E"/>
          <w:sz w:val="28"/>
        </w:rPr>
        <w:t>1.1 What SOC 2 is</w:t>
      </w:r>
    </w:p>
    <w:p>
      <w:pPr>
        <w:spacing w:after="100"/>
      </w:pPr>
      <w:r>
        <w:rPr>
          <w:rFonts w:ascii="Aptos" w:hAnsi="Aptos"/>
        </w:rPr>
        <w:t>SOC 2 is an assurance reporting framework for service organisations. It evaluates controls relevant to one or more Trust Services Categories: Security, Availability, Processing Integrity, Confidentiality and Privacy. The service organisation describes the system that provides the service, defines the relevant commitments and system requirements, and presents controls designed to meet the applicable criteria. An independent CPA/service auditor examines that subject matter and issues the SOC 2 report.</w:t>
      </w:r>
    </w:p>
    <w:tbl>
      <w:tblPr>
        <w:tblW w:type="auto" w:w="0"/>
        <w:jc w:val="center"/>
        <w:tblLayout w:type="autofit"/>
        <w:tblLook w:firstColumn="1" w:firstRow="1" w:lastColumn="0" w:lastRow="0" w:noHBand="0" w:noVBand="1" w:val="04A0"/>
      </w:tblPr>
      <w:tblGrid>
        <w:gridCol w:w="9994"/>
      </w:tblGrid>
      <w:tr>
        <w:tc>
          <w:tcPr>
            <w:tcW w:type="dxa" w:w="9994"/>
            <w:shd w:fill="FFF7E6"/>
            <w:tcBorders>
              <w:top w:val="nil"/>
              <w:left w:val="single" w:sz="18" w:color="A46400"/>
              <w:bottom w:val="nil"/>
              <w:right w:val="nil"/>
            </w:tcBorders>
          </w:tcPr>
          <w:p>
            <w:pPr>
              <w:spacing w:after="60"/>
            </w:pPr>
            <w:r>
              <w:rPr>
                <w:rFonts w:ascii="Aptos" w:hAnsi="Aptos"/>
                <w:b/>
                <w:color w:val="A46400"/>
                <w:sz w:val="21"/>
              </w:rPr>
              <w:t>Do not treat SOC 2 as a self-certification.</w:t>
            </w:r>
          </w:p>
          <w:p>
            <w:pPr>
              <w:spacing w:after="0"/>
            </w:pPr>
            <w:r>
              <w:rPr>
                <w:rFonts w:ascii="Aptos" w:hAnsi="Aptos"/>
                <w:sz w:val="19"/>
              </w:rPr>
              <w:t>Your organisation can prepare, operate controls, collect evidence and assess readiness in PurpleWASP, but the final SOC 2 examination opinion comes from the service auditor.</w:t>
            </w:r>
          </w:p>
        </w:tc>
      </w:tr>
    </w:tbl>
    <w:p>
      <w:pPr>
        <w:spacing w:after="20"/>
      </w:pPr>
    </w:p>
    <w:p>
      <w:pPr>
        <w:pStyle w:val="Heading2"/>
      </w:pPr>
      <w:r>
        <w:rPr>
          <w:rFonts w:ascii="Aptos" w:hAnsi="Aptos"/>
          <w:b/>
          <w:color w:val="24152E"/>
          <w:sz w:val="28"/>
        </w:rPr>
        <w:t>1.2 Trust Services Categories</w:t>
      </w:r>
    </w:p>
    <w:tbl>
      <w:tblPr>
        <w:tblStyle w:val="TableGrid"/>
        <w:tblW w:type="auto" w:w="0"/>
        <w:jc w:val="center"/>
        <w:tblLook w:firstColumn="1" w:firstRow="1" w:lastColumn="0" w:lastRow="0" w:noHBand="0" w:noVBand="1" w:val="04A0"/>
      </w:tblPr>
      <w:tblGrid>
        <w:gridCol w:w="3331"/>
        <w:gridCol w:w="3331"/>
        <w:gridCol w:w="3331"/>
      </w:tblGrid>
      <w:tr>
        <w:tc>
          <w:tcPr>
            <w:tcW w:type="dxa" w:w="1656"/>
            <w:shd w:fill="4B0983"/>
            <w:vAlign w:val="center"/>
          </w:tcPr>
          <w:p>
            <w:pPr>
              <w:jc w:val="left"/>
            </w:pPr>
            <w:r>
              <w:rPr>
                <w:rFonts w:ascii="Aptos" w:hAnsi="Aptos"/>
                <w:b/>
                <w:color w:val="FFFFFF"/>
                <w:sz w:val="17"/>
              </w:rPr>
              <w:t>Category</w:t>
            </w:r>
          </w:p>
        </w:tc>
        <w:tc>
          <w:tcPr>
            <w:tcW w:type="dxa" w:w="4320"/>
            <w:shd w:fill="4B0983"/>
            <w:vAlign w:val="center"/>
          </w:tcPr>
          <w:p>
            <w:pPr>
              <w:jc w:val="left"/>
            </w:pPr>
            <w:r>
              <w:rPr>
                <w:rFonts w:ascii="Aptos" w:hAnsi="Aptos"/>
                <w:b/>
                <w:color w:val="FFFFFF"/>
                <w:sz w:val="17"/>
              </w:rPr>
              <w:t>What it means in plain language</w:t>
            </w:r>
          </w:p>
        </w:tc>
        <w:tc>
          <w:tcPr>
            <w:tcW w:type="dxa" w:w="3744"/>
            <w:shd w:fill="4B0983"/>
            <w:vAlign w:val="center"/>
          </w:tcPr>
          <w:p>
            <w:pPr>
              <w:jc w:val="left"/>
            </w:pPr>
            <w:r>
              <w:rPr>
                <w:rFonts w:ascii="Aptos" w:hAnsi="Aptos"/>
                <w:b/>
                <w:color w:val="FFFFFF"/>
                <w:sz w:val="17"/>
              </w:rPr>
              <w:t>PurpleWASP setup treatment</w:t>
            </w:r>
          </w:p>
        </w:tc>
      </w:tr>
      <w:tr>
        <w:tc>
          <w:tcPr>
            <w:tcW w:type="dxa" w:w="1656"/>
            <w:vAlign w:val="top"/>
            <w:tcBorders>
              <w:top w:val="single" w:sz="4" w:color="D8D2DE"/>
              <w:left w:val="single" w:sz="4" w:color="D8D2DE"/>
              <w:bottom w:val="single" w:sz="4" w:color="D8D2DE"/>
              <w:right w:val="single" w:sz="4" w:color="D8D2DE"/>
            </w:tcBorders>
          </w:tcPr>
          <w:p>
            <w:r>
              <w:rPr>
                <w:rFonts w:ascii="Aptos" w:hAnsi="Aptos"/>
                <w:sz w:val="17"/>
              </w:rPr>
              <w:t>Security</w:t>
            </w:r>
          </w:p>
        </w:tc>
        <w:tc>
          <w:tcPr>
            <w:tcW w:type="dxa" w:w="4320"/>
            <w:vAlign w:val="top"/>
            <w:tcBorders>
              <w:top w:val="single" w:sz="4" w:color="D8D2DE"/>
              <w:left w:val="single" w:sz="4" w:color="D8D2DE"/>
              <w:bottom w:val="single" w:sz="4" w:color="D8D2DE"/>
              <w:right w:val="single" w:sz="4" w:color="D8D2DE"/>
            </w:tcBorders>
          </w:tcPr>
          <w:p>
            <w:r>
              <w:rPr>
                <w:rFonts w:ascii="Aptos" w:hAnsi="Aptos"/>
                <w:sz w:val="17"/>
              </w:rPr>
              <w:t>Protection of systems and information against unauthorised access, use, disclosure or damage.</w:t>
            </w:r>
          </w:p>
        </w:tc>
        <w:tc>
          <w:tcPr>
            <w:tcW w:type="dxa" w:w="3744"/>
            <w:vAlign w:val="top"/>
            <w:tcBorders>
              <w:top w:val="single" w:sz="4" w:color="D8D2DE"/>
              <w:left w:val="single" w:sz="4" w:color="D8D2DE"/>
              <w:bottom w:val="single" w:sz="4" w:color="D8D2DE"/>
              <w:right w:val="single" w:sz="4" w:color="D8D2DE"/>
            </w:tcBorders>
          </w:tcPr>
          <w:p>
            <w:r>
              <w:rPr>
                <w:rFonts w:ascii="Aptos" w:hAnsi="Aptos"/>
                <w:sz w:val="17"/>
              </w:rPr>
              <w:t>Always included as the baseline in the current setup workflow.</w:t>
            </w:r>
          </w:p>
        </w:tc>
      </w:tr>
      <w:tr>
        <w:tc>
          <w:tcPr>
            <w:tcW w:type="dxa" w:w="1656"/>
            <w:vAlign w:val="top"/>
            <w:tcBorders>
              <w:top w:val="single" w:sz="4" w:color="D8D2DE"/>
              <w:left w:val="single" w:sz="4" w:color="D8D2DE"/>
              <w:bottom w:val="single" w:sz="4" w:color="D8D2DE"/>
              <w:right w:val="single" w:sz="4" w:color="D8D2DE"/>
            </w:tcBorders>
          </w:tcPr>
          <w:p>
            <w:r>
              <w:rPr>
                <w:rFonts w:ascii="Aptos" w:hAnsi="Aptos"/>
                <w:sz w:val="17"/>
              </w:rPr>
              <w:t>Availability</w:t>
            </w:r>
          </w:p>
        </w:tc>
        <w:tc>
          <w:tcPr>
            <w:tcW w:type="dxa" w:w="4320"/>
            <w:vAlign w:val="top"/>
            <w:tcBorders>
              <w:top w:val="single" w:sz="4" w:color="D8D2DE"/>
              <w:left w:val="single" w:sz="4" w:color="D8D2DE"/>
              <w:bottom w:val="single" w:sz="4" w:color="D8D2DE"/>
              <w:right w:val="single" w:sz="4" w:color="D8D2DE"/>
            </w:tcBorders>
          </w:tcPr>
          <w:p>
            <w:r>
              <w:rPr>
                <w:rFonts w:ascii="Aptos" w:hAnsi="Aptos"/>
                <w:sz w:val="17"/>
              </w:rPr>
              <w:t>Whether systems and services are available for operation and use as committed.</w:t>
            </w:r>
          </w:p>
        </w:tc>
        <w:tc>
          <w:tcPr>
            <w:tcW w:type="dxa" w:w="3744"/>
            <w:vAlign w:val="top"/>
            <w:tcBorders>
              <w:top w:val="single" w:sz="4" w:color="D8D2DE"/>
              <w:left w:val="single" w:sz="4" w:color="D8D2DE"/>
              <w:bottom w:val="single" w:sz="4" w:color="D8D2DE"/>
              <w:right w:val="single" w:sz="4" w:color="D8D2DE"/>
            </w:tcBorders>
          </w:tcPr>
          <w:p>
            <w:r>
              <w:rPr>
                <w:rFonts w:ascii="Aptos" w:hAnsi="Aptos"/>
                <w:sz w:val="17"/>
              </w:rPr>
              <w:t>Optional; include when availability, resilience, capacity or recovery commitments are in scope.</w:t>
            </w:r>
          </w:p>
        </w:tc>
      </w:tr>
      <w:tr>
        <w:tc>
          <w:tcPr>
            <w:tcW w:type="dxa" w:w="1656"/>
            <w:vAlign w:val="top"/>
            <w:tcBorders>
              <w:top w:val="single" w:sz="4" w:color="D8D2DE"/>
              <w:left w:val="single" w:sz="4" w:color="D8D2DE"/>
              <w:bottom w:val="single" w:sz="4" w:color="D8D2DE"/>
              <w:right w:val="single" w:sz="4" w:color="D8D2DE"/>
            </w:tcBorders>
          </w:tcPr>
          <w:p>
            <w:r>
              <w:rPr>
                <w:rFonts w:ascii="Aptos" w:hAnsi="Aptos"/>
                <w:sz w:val="17"/>
              </w:rPr>
              <w:t>Processing Integrity</w:t>
            </w:r>
          </w:p>
        </w:tc>
        <w:tc>
          <w:tcPr>
            <w:tcW w:type="dxa" w:w="4320"/>
            <w:vAlign w:val="top"/>
            <w:tcBorders>
              <w:top w:val="single" w:sz="4" w:color="D8D2DE"/>
              <w:left w:val="single" w:sz="4" w:color="D8D2DE"/>
              <w:bottom w:val="single" w:sz="4" w:color="D8D2DE"/>
              <w:right w:val="single" w:sz="4" w:color="D8D2DE"/>
            </w:tcBorders>
          </w:tcPr>
          <w:p>
            <w:r>
              <w:rPr>
                <w:rFonts w:ascii="Aptos" w:hAnsi="Aptos"/>
                <w:sz w:val="17"/>
              </w:rPr>
              <w:t>Whether processing is complete, valid, accurate, timely and authorised as required.</w:t>
            </w:r>
          </w:p>
        </w:tc>
        <w:tc>
          <w:tcPr>
            <w:tcW w:type="dxa" w:w="3744"/>
            <w:vAlign w:val="top"/>
            <w:tcBorders>
              <w:top w:val="single" w:sz="4" w:color="D8D2DE"/>
              <w:left w:val="single" w:sz="4" w:color="D8D2DE"/>
              <w:bottom w:val="single" w:sz="4" w:color="D8D2DE"/>
              <w:right w:val="single" w:sz="4" w:color="D8D2DE"/>
            </w:tcBorders>
          </w:tcPr>
          <w:p>
            <w:r>
              <w:rPr>
                <w:rFonts w:ascii="Aptos" w:hAnsi="Aptos"/>
                <w:sz w:val="17"/>
              </w:rPr>
              <w:t>Optional; include when customers depend on processing correctness or completeness.</w:t>
            </w:r>
          </w:p>
        </w:tc>
      </w:tr>
      <w:tr>
        <w:tc>
          <w:tcPr>
            <w:tcW w:type="dxa" w:w="1656"/>
            <w:vAlign w:val="top"/>
            <w:tcBorders>
              <w:top w:val="single" w:sz="4" w:color="D8D2DE"/>
              <w:left w:val="single" w:sz="4" w:color="D8D2DE"/>
              <w:bottom w:val="single" w:sz="4" w:color="D8D2DE"/>
              <w:right w:val="single" w:sz="4" w:color="D8D2DE"/>
            </w:tcBorders>
          </w:tcPr>
          <w:p>
            <w:r>
              <w:rPr>
                <w:rFonts w:ascii="Aptos" w:hAnsi="Aptos"/>
                <w:sz w:val="17"/>
              </w:rPr>
              <w:t>Confidentiality</w:t>
            </w:r>
          </w:p>
        </w:tc>
        <w:tc>
          <w:tcPr>
            <w:tcW w:type="dxa" w:w="4320"/>
            <w:vAlign w:val="top"/>
            <w:tcBorders>
              <w:top w:val="single" w:sz="4" w:color="D8D2DE"/>
              <w:left w:val="single" w:sz="4" w:color="D8D2DE"/>
              <w:bottom w:val="single" w:sz="4" w:color="D8D2DE"/>
              <w:right w:val="single" w:sz="4" w:color="D8D2DE"/>
            </w:tcBorders>
          </w:tcPr>
          <w:p>
            <w:r>
              <w:rPr>
                <w:rFonts w:ascii="Aptos" w:hAnsi="Aptos"/>
                <w:sz w:val="17"/>
              </w:rPr>
              <w:t>Protection of information designated as confidential.</w:t>
            </w:r>
          </w:p>
        </w:tc>
        <w:tc>
          <w:tcPr>
            <w:tcW w:type="dxa" w:w="3744"/>
            <w:vAlign w:val="top"/>
            <w:tcBorders>
              <w:top w:val="single" w:sz="4" w:color="D8D2DE"/>
              <w:left w:val="single" w:sz="4" w:color="D8D2DE"/>
              <w:bottom w:val="single" w:sz="4" w:color="D8D2DE"/>
              <w:right w:val="single" w:sz="4" w:color="D8D2DE"/>
            </w:tcBorders>
          </w:tcPr>
          <w:p>
            <w:r>
              <w:rPr>
                <w:rFonts w:ascii="Aptos" w:hAnsi="Aptos"/>
                <w:sz w:val="17"/>
              </w:rPr>
              <w:t>Optional; include when confidential-information commitments are material to the service.</w:t>
            </w:r>
          </w:p>
        </w:tc>
      </w:tr>
      <w:tr>
        <w:tc>
          <w:tcPr>
            <w:tcW w:type="dxa" w:w="1656"/>
            <w:vAlign w:val="top"/>
            <w:tcBorders>
              <w:top w:val="single" w:sz="4" w:color="D8D2DE"/>
              <w:left w:val="single" w:sz="4" w:color="D8D2DE"/>
              <w:bottom w:val="single" w:sz="4" w:color="D8D2DE"/>
              <w:right w:val="single" w:sz="4" w:color="D8D2DE"/>
            </w:tcBorders>
          </w:tcPr>
          <w:p>
            <w:r>
              <w:rPr>
                <w:rFonts w:ascii="Aptos" w:hAnsi="Aptos"/>
                <w:sz w:val="17"/>
              </w:rPr>
              <w:t>Privacy</w:t>
            </w:r>
          </w:p>
        </w:tc>
        <w:tc>
          <w:tcPr>
            <w:tcW w:type="dxa" w:w="4320"/>
            <w:vAlign w:val="top"/>
            <w:tcBorders>
              <w:top w:val="single" w:sz="4" w:color="D8D2DE"/>
              <w:left w:val="single" w:sz="4" w:color="D8D2DE"/>
              <w:bottom w:val="single" w:sz="4" w:color="D8D2DE"/>
              <w:right w:val="single" w:sz="4" w:color="D8D2DE"/>
            </w:tcBorders>
          </w:tcPr>
          <w:p>
            <w:r>
              <w:rPr>
                <w:rFonts w:ascii="Aptos" w:hAnsi="Aptos"/>
                <w:sz w:val="17"/>
              </w:rPr>
              <w:t>Collection, use, retention, disclosure and disposal of personal information against privacy commitments.</w:t>
            </w:r>
          </w:p>
        </w:tc>
        <w:tc>
          <w:tcPr>
            <w:tcW w:type="dxa" w:w="3744"/>
            <w:vAlign w:val="top"/>
            <w:tcBorders>
              <w:top w:val="single" w:sz="4" w:color="D8D2DE"/>
              <w:left w:val="single" w:sz="4" w:color="D8D2DE"/>
              <w:bottom w:val="single" w:sz="4" w:color="D8D2DE"/>
              <w:right w:val="single" w:sz="4" w:color="D8D2DE"/>
            </w:tcBorders>
          </w:tcPr>
          <w:p>
            <w:r>
              <w:rPr>
                <w:rFonts w:ascii="Aptos" w:hAnsi="Aptos"/>
                <w:sz w:val="17"/>
              </w:rPr>
              <w:t>Optional; include when privacy-specific commitments are intended to be examined.</w:t>
            </w:r>
          </w:p>
        </w:tc>
      </w:tr>
    </w:tbl>
    <w:p>
      <w:pPr>
        <w:spacing w:after="20"/>
      </w:pPr>
    </w:p>
    <w:tbl>
      <w:tblPr>
        <w:tblW w:type="auto" w:w="0"/>
        <w:jc w:val="center"/>
        <w:tblLayout w:type="autofit"/>
        <w:tblLook w:firstColumn="1" w:firstRow="1" w:lastColumn="0" w:lastRow="0" w:noHBand="0" w:noVBand="1" w:val="04A0"/>
      </w:tblPr>
      <w:tblGrid>
        <w:gridCol w:w="9994"/>
      </w:tblGrid>
      <w:tr>
        <w:tc>
          <w:tcPr>
            <w:tcW w:type="dxa" w:w="9994"/>
            <w:shd w:fill="EEF8F2"/>
            <w:tcBorders>
              <w:top w:val="nil"/>
              <w:left w:val="single" w:sz="18" w:color="167C46"/>
              <w:bottom w:val="nil"/>
              <w:right w:val="nil"/>
            </w:tcBorders>
          </w:tcPr>
          <w:p>
            <w:pPr>
              <w:spacing w:after="60"/>
            </w:pPr>
            <w:r>
              <w:rPr>
                <w:rFonts w:ascii="Aptos" w:hAnsi="Aptos"/>
                <w:b/>
                <w:color w:val="167C46"/>
                <w:sz w:val="21"/>
              </w:rPr>
              <w:t>Scope discipline</w:t>
            </w:r>
          </w:p>
          <w:p>
            <w:pPr>
              <w:spacing w:after="0"/>
            </w:pPr>
            <w:r>
              <w:rPr>
                <w:rFonts w:ascii="Aptos" w:hAnsi="Aptos"/>
                <w:sz w:val="19"/>
              </w:rPr>
              <w:t>PurpleWASP explicitly warns against selecting every optional category by default. Each additional category increases the criteria, evidence and testing that must be addressed.</w:t>
            </w:r>
          </w:p>
        </w:tc>
      </w:tr>
    </w:tbl>
    <w:p>
      <w:pPr>
        <w:spacing w:after="20"/>
      </w:pPr>
    </w:p>
    <w:p>
      <w:pPr>
        <w:pStyle w:val="Heading2"/>
      </w:pPr>
      <w:r>
        <w:rPr>
          <w:rFonts w:ascii="Aptos" w:hAnsi="Aptos"/>
          <w:b/>
          <w:color w:val="24152E"/>
          <w:sz w:val="28"/>
        </w:rPr>
        <w:t>1.3 Type I vs Type II</w:t>
      </w:r>
    </w:p>
    <w:tbl>
      <w:tblPr>
        <w:tblStyle w:val="TableGrid"/>
        <w:tblW w:type="auto" w:w="0"/>
        <w:jc w:val="center"/>
        <w:tblLook w:firstColumn="1" w:firstRow="1" w:lastColumn="0" w:lastRow="0" w:noHBand="0" w:noVBand="1" w:val="04A0"/>
      </w:tblPr>
      <w:tblGrid>
        <w:gridCol w:w="2498"/>
        <w:gridCol w:w="2498"/>
        <w:gridCol w:w="2498"/>
        <w:gridCol w:w="2498"/>
      </w:tblGrid>
      <w:tr>
        <w:tc>
          <w:tcPr>
            <w:tcW w:type="dxa" w:w="1584"/>
            <w:shd w:fill="4B0983"/>
            <w:vAlign w:val="center"/>
          </w:tcPr>
          <w:p>
            <w:pPr>
              <w:jc w:val="left"/>
            </w:pPr>
            <w:r>
              <w:rPr>
                <w:rFonts w:ascii="Aptos" w:hAnsi="Aptos"/>
                <w:b/>
                <w:color w:val="FFFFFF"/>
                <w:sz w:val="17"/>
              </w:rPr>
              <w:t>Report type</w:t>
            </w:r>
          </w:p>
        </w:tc>
        <w:tc>
          <w:tcPr>
            <w:tcW w:type="dxa" w:w="3888"/>
            <w:shd w:fill="4B0983"/>
            <w:vAlign w:val="center"/>
          </w:tcPr>
          <w:p>
            <w:pPr>
              <w:jc w:val="left"/>
            </w:pPr>
            <w:r>
              <w:rPr>
                <w:rFonts w:ascii="Aptos" w:hAnsi="Aptos"/>
                <w:b/>
                <w:color w:val="FFFFFF"/>
                <w:sz w:val="17"/>
              </w:rPr>
              <w:t>What is examined</w:t>
            </w:r>
          </w:p>
        </w:tc>
        <w:tc>
          <w:tcPr>
            <w:tcW w:type="dxa" w:w="3888"/>
            <w:shd w:fill="4B0983"/>
            <w:vAlign w:val="center"/>
          </w:tcPr>
          <w:p>
            <w:pPr>
              <w:jc w:val="left"/>
            </w:pPr>
            <w:r>
              <w:rPr>
                <w:rFonts w:ascii="Aptos" w:hAnsi="Aptos"/>
                <w:b/>
                <w:color w:val="FFFFFF"/>
                <w:sz w:val="17"/>
              </w:rPr>
              <w:t>When it is usually useful</w:t>
            </w:r>
          </w:p>
        </w:tc>
        <w:tc>
          <w:tcPr>
            <w:tcW w:type="dxa" w:w="1872"/>
            <w:shd w:fill="4B0983"/>
            <w:vAlign w:val="center"/>
          </w:tcPr>
          <w:p>
            <w:pPr>
              <w:jc w:val="left"/>
            </w:pPr>
            <w:r>
              <w:rPr>
                <w:rFonts w:ascii="Aptos" w:hAnsi="Aptos"/>
                <w:b/>
                <w:color w:val="FFFFFF"/>
                <w:sz w:val="17"/>
              </w:rPr>
              <w:t>PurpleWASP date input</w:t>
            </w:r>
          </w:p>
        </w:tc>
      </w:tr>
      <w:tr>
        <w:tc>
          <w:tcPr>
            <w:tcW w:type="dxa" w:w="1584"/>
            <w:vAlign w:val="top"/>
            <w:tcBorders>
              <w:top w:val="single" w:sz="4" w:color="D8D2DE"/>
              <w:left w:val="single" w:sz="4" w:color="D8D2DE"/>
              <w:bottom w:val="single" w:sz="4" w:color="D8D2DE"/>
              <w:right w:val="single" w:sz="4" w:color="D8D2DE"/>
            </w:tcBorders>
          </w:tcPr>
          <w:p>
            <w:r>
              <w:rPr>
                <w:rFonts w:ascii="Aptos" w:hAnsi="Aptos"/>
                <w:sz w:val="17"/>
              </w:rPr>
              <w:t>Type I</w:t>
            </w:r>
          </w:p>
        </w:tc>
        <w:tc>
          <w:tcPr>
            <w:tcW w:type="dxa" w:w="3888"/>
            <w:vAlign w:val="top"/>
            <w:tcBorders>
              <w:top w:val="single" w:sz="4" w:color="D8D2DE"/>
              <w:left w:val="single" w:sz="4" w:color="D8D2DE"/>
              <w:bottom w:val="single" w:sz="4" w:color="D8D2DE"/>
              <w:right w:val="single" w:sz="4" w:color="D8D2DE"/>
            </w:tcBorders>
          </w:tcPr>
          <w:p>
            <w:r>
              <w:rPr>
                <w:rFonts w:ascii="Aptos" w:hAnsi="Aptos"/>
                <w:sz w:val="17"/>
              </w:rPr>
              <w:t>Control design at a specified date.</w:t>
            </w:r>
          </w:p>
        </w:tc>
        <w:tc>
          <w:tcPr>
            <w:tcW w:type="dxa" w:w="3888"/>
            <w:vAlign w:val="top"/>
            <w:tcBorders>
              <w:top w:val="single" w:sz="4" w:color="D8D2DE"/>
              <w:left w:val="single" w:sz="4" w:color="D8D2DE"/>
              <w:bottom w:val="single" w:sz="4" w:color="D8D2DE"/>
              <w:right w:val="single" w:sz="4" w:color="D8D2DE"/>
            </w:tcBorders>
          </w:tcPr>
          <w:p>
            <w:r>
              <w:rPr>
                <w:rFonts w:ascii="Aptos" w:hAnsi="Aptos"/>
                <w:sz w:val="17"/>
              </w:rPr>
              <w:t>An initial examination, a new system/control environment, or when operating history is not yet available.</w:t>
            </w:r>
          </w:p>
        </w:tc>
        <w:tc>
          <w:tcPr>
            <w:tcW w:type="dxa" w:w="1872"/>
            <w:vAlign w:val="top"/>
            <w:tcBorders>
              <w:top w:val="single" w:sz="4" w:color="D8D2DE"/>
              <w:left w:val="single" w:sz="4" w:color="D8D2DE"/>
              <w:bottom w:val="single" w:sz="4" w:color="D8D2DE"/>
              <w:right w:val="single" w:sz="4" w:color="D8D2DE"/>
            </w:tcBorders>
          </w:tcPr>
          <w:p>
            <w:r>
              <w:rPr>
                <w:rFonts w:ascii="Aptos" w:hAnsi="Aptos"/>
                <w:sz w:val="17"/>
              </w:rPr>
              <w:t>Type I as-of date.</w:t>
            </w:r>
          </w:p>
        </w:tc>
      </w:tr>
      <w:tr>
        <w:tc>
          <w:tcPr>
            <w:tcW w:type="dxa" w:w="1584"/>
            <w:vAlign w:val="top"/>
            <w:tcBorders>
              <w:top w:val="single" w:sz="4" w:color="D8D2DE"/>
              <w:left w:val="single" w:sz="4" w:color="D8D2DE"/>
              <w:bottom w:val="single" w:sz="4" w:color="D8D2DE"/>
              <w:right w:val="single" w:sz="4" w:color="D8D2DE"/>
            </w:tcBorders>
          </w:tcPr>
          <w:p>
            <w:r>
              <w:rPr>
                <w:rFonts w:ascii="Aptos" w:hAnsi="Aptos"/>
                <w:sz w:val="17"/>
              </w:rPr>
              <w:t>Type II</w:t>
            </w:r>
          </w:p>
        </w:tc>
        <w:tc>
          <w:tcPr>
            <w:tcW w:type="dxa" w:w="3888"/>
            <w:vAlign w:val="top"/>
            <w:tcBorders>
              <w:top w:val="single" w:sz="4" w:color="D8D2DE"/>
              <w:left w:val="single" w:sz="4" w:color="D8D2DE"/>
              <w:bottom w:val="single" w:sz="4" w:color="D8D2DE"/>
              <w:right w:val="single" w:sz="4" w:color="D8D2DE"/>
            </w:tcBorders>
          </w:tcPr>
          <w:p>
            <w:r>
              <w:rPr>
                <w:rFonts w:ascii="Aptos" w:hAnsi="Aptos"/>
                <w:sz w:val="17"/>
              </w:rPr>
              <w:t>Control design and operating effectiveness over an observation period.</w:t>
            </w:r>
          </w:p>
        </w:tc>
        <w:tc>
          <w:tcPr>
            <w:tcW w:type="dxa" w:w="3888"/>
            <w:vAlign w:val="top"/>
            <w:tcBorders>
              <w:top w:val="single" w:sz="4" w:color="D8D2DE"/>
              <w:left w:val="single" w:sz="4" w:color="D8D2DE"/>
              <w:bottom w:val="single" w:sz="4" w:color="D8D2DE"/>
              <w:right w:val="single" w:sz="4" w:color="D8D2DE"/>
            </w:tcBorders>
          </w:tcPr>
          <w:p>
            <w:r>
              <w:rPr>
                <w:rFonts w:ascii="Aptos" w:hAnsi="Aptos"/>
                <w:sz w:val="17"/>
              </w:rPr>
              <w:t>When stakeholders need evidence that controls operated over time, not only that they were designed.</w:t>
            </w:r>
          </w:p>
        </w:tc>
        <w:tc>
          <w:tcPr>
            <w:tcW w:type="dxa" w:w="1872"/>
            <w:vAlign w:val="top"/>
            <w:tcBorders>
              <w:top w:val="single" w:sz="4" w:color="D8D2DE"/>
              <w:left w:val="single" w:sz="4" w:color="D8D2DE"/>
              <w:bottom w:val="single" w:sz="4" w:color="D8D2DE"/>
              <w:right w:val="single" w:sz="4" w:color="D8D2DE"/>
            </w:tcBorders>
          </w:tcPr>
          <w:p>
            <w:r>
              <w:rPr>
                <w:rFonts w:ascii="Aptos" w:hAnsi="Aptos"/>
                <w:sz w:val="17"/>
              </w:rPr>
              <w:t>Observation-period start and end; optional target report/examination date.</w:t>
            </w:r>
          </w:p>
        </w:tc>
      </w:tr>
    </w:tbl>
    <w:p>
      <w:pPr>
        <w:spacing w:after="20"/>
      </w:pPr>
    </w:p>
    <w:p>
      <w:pPr>
        <w:pStyle w:val="Heading2"/>
      </w:pPr>
      <w:r>
        <w:rPr>
          <w:rFonts w:ascii="Aptos" w:hAnsi="Aptos"/>
          <w:b/>
          <w:color w:val="24152E"/>
          <w:sz w:val="28"/>
        </w:rPr>
        <w:t>1.4 Five ideas you should understand before using the workspace</w:t>
      </w:r>
    </w:p>
    <w:p>
      <w:pPr>
        <w:pStyle w:val="ListBullet"/>
        <w:spacing w:after="40"/>
      </w:pPr>
      <w:r>
        <w:rPr>
          <w:rFonts w:ascii="Aptos" w:hAnsi="Aptos"/>
          <w:b/>
        </w:rPr>
        <w:t xml:space="preserve">Criterion: </w:t>
      </w:r>
      <w:r>
        <w:rPr>
          <w:rFonts w:ascii="Aptos" w:hAnsi="Aptos"/>
        </w:rPr>
        <w:t>A requirement from the Trust Services Criteria. PurpleWASP shows the criterion code/title and maps candidate controls to it.</w:t>
      </w:r>
    </w:p>
    <w:p>
      <w:pPr>
        <w:pStyle w:val="ListBullet"/>
        <w:spacing w:after="40"/>
      </w:pPr>
      <w:r>
        <w:rPr>
          <w:rFonts w:ascii="Aptos" w:hAnsi="Aptos"/>
          <w:b/>
        </w:rPr>
        <w:t xml:space="preserve">Control: </w:t>
      </w:r>
      <w:r>
        <w:rPr>
          <w:rFonts w:ascii="Aptos" w:hAnsi="Aptos"/>
        </w:rPr>
        <w:t>An organisation control that management operates. PurpleWASP can suggest candidate mappings, but management explicitly chooses which adopted controls it will rely on for each criterion.</w:t>
      </w:r>
    </w:p>
    <w:p>
      <w:pPr>
        <w:pStyle w:val="ListBullet"/>
        <w:spacing w:after="40"/>
      </w:pPr>
      <w:r>
        <w:rPr>
          <w:rFonts w:ascii="Aptos" w:hAnsi="Aptos"/>
          <w:b/>
        </w:rPr>
        <w:t xml:space="preserve">Evidence: </w:t>
      </w:r>
      <w:r>
        <w:rPr>
          <w:rFonts w:ascii="Aptos" w:hAnsi="Aptos"/>
        </w:rPr>
        <w:t>A record or artefact that supports control design or operation. Evidence can be reusable and linked to multiple controls, but its temporal relevance must still be evaluated.</w:t>
      </w:r>
    </w:p>
    <w:p>
      <w:pPr>
        <w:pStyle w:val="ListBullet"/>
        <w:spacing w:after="40"/>
      </w:pPr>
      <w:r>
        <w:rPr>
          <w:rFonts w:ascii="Aptos" w:hAnsi="Aptos"/>
          <w:b/>
        </w:rPr>
        <w:t xml:space="preserve">Test: </w:t>
      </w:r>
      <w:r>
        <w:rPr>
          <w:rFonts w:ascii="Aptos" w:hAnsi="Aptos"/>
        </w:rPr>
        <w:t>A planned procedure used to evaluate whether a control operated as intended. PurpleWASP separates reusable test definitions from individual completed test runs.</w:t>
      </w:r>
    </w:p>
    <w:p>
      <w:pPr>
        <w:pStyle w:val="ListBullet"/>
        <w:spacing w:after="40"/>
      </w:pPr>
      <w:r>
        <w:rPr>
          <w:rFonts w:ascii="Aptos" w:hAnsi="Aptos"/>
          <w:b/>
        </w:rPr>
        <w:t xml:space="preserve">Readiness decision: </w:t>
      </w:r>
      <w:r>
        <w:rPr>
          <w:rFonts w:ascii="Aptos" w:hAnsi="Aptos"/>
        </w:rPr>
        <w:t>A management/assessor conclusion such as Ready, Conditionally Ready, Not Ready or Review Required. PurpleWASP recommendations are guidance; recorded decisions are separate and retain history.</w:t>
      </w:r>
    </w:p>
    <w:p>
      <w:pPr>
        <w:pStyle w:val="Heading2"/>
      </w:pPr>
      <w:r>
        <w:rPr>
          <w:rFonts w:ascii="Aptos" w:hAnsi="Aptos"/>
          <w:b/>
          <w:color w:val="24152E"/>
          <w:sz w:val="28"/>
        </w:rPr>
        <w:t>1.5 System description, subservice organisations and CUECs</w:t>
      </w:r>
    </w:p>
    <w:p>
      <w:pPr>
        <w:spacing w:after="100"/>
      </w:pPr>
      <w:r>
        <w:rPr>
          <w:rFonts w:ascii="Aptos" w:hAnsi="Aptos"/>
        </w:rPr>
        <w:t>A SOC 2 engagement is about a defined system, not an entire company by default. The system boundary normally includes the people, processes, technology, data and relevant third-party dependencies used to provide the service. PurpleWASP therefore starts from business processes, discovers linked assets and third parties, and asks management to resolve the boundary explicitly.</w:t>
      </w:r>
    </w:p>
    <w:p>
      <w:pPr>
        <w:pStyle w:val="ListBullet"/>
        <w:spacing w:after="40"/>
      </w:pPr>
      <w:r>
        <w:rPr>
          <w:rFonts w:ascii="Aptos" w:hAnsi="Aptos"/>
          <w:b/>
        </w:rPr>
        <w:t xml:space="preserve">Subservice organisation: </w:t>
      </w:r>
      <w:r>
        <w:rPr>
          <w:rFonts w:ascii="Aptos" w:hAnsi="Aptos"/>
        </w:rPr>
        <w:t>A third party whose services may be relevant to the system and the criteria. PurpleWASP asks management to decide whether an included/review provider is a subservice organisation and whether inclusive or carve-out treatment is expected.</w:t>
      </w:r>
    </w:p>
    <w:p>
      <w:pPr>
        <w:pStyle w:val="ListBullet"/>
        <w:spacing w:after="40"/>
      </w:pPr>
      <w:r>
        <w:rPr>
          <w:rFonts w:ascii="Aptos" w:hAnsi="Aptos"/>
          <w:b/>
        </w:rPr>
        <w:t xml:space="preserve">CUEC: </w:t>
      </w:r>
      <w:r>
        <w:rPr>
          <w:rFonts w:ascii="Aptos" w:hAnsi="Aptos"/>
        </w:rPr>
        <w:t>A Complementary User Entity Control - a responsibility expected to be performed by the customer/user entity for the service organisation controls and system commitments to work as intended.</w:t>
      </w:r>
    </w:p>
    <w:p>
      <w:pPr>
        <w:pStyle w:val="ListBullet"/>
        <w:spacing w:after="40"/>
      </w:pPr>
      <w:r>
        <w:rPr>
          <w:rFonts w:ascii="Aptos" w:hAnsi="Aptos"/>
          <w:b/>
        </w:rPr>
        <w:t xml:space="preserve">Significant changes: </w:t>
      </w:r>
      <w:r>
        <w:rPr>
          <w:rFonts w:ascii="Aptos" w:hAnsi="Aptos"/>
        </w:rPr>
        <w:t>Material changes to the system or control environment that should be considered in the engagement description and examination.</w:t>
      </w:r>
    </w:p>
    <w:p>
      <w:pPr>
        <w:pStyle w:val="ListBullet"/>
        <w:spacing w:after="40"/>
      </w:pPr>
      <w:r>
        <w:rPr>
          <w:rFonts w:ascii="Aptos" w:hAnsi="Aptos"/>
          <w:b/>
        </w:rPr>
        <w:t xml:space="preserve">Criterion exclusion/not-applicable rationale: </w:t>
      </w:r>
      <w:r>
        <w:rPr>
          <w:rFonts w:ascii="Aptos" w:hAnsi="Aptos"/>
        </w:rPr>
        <w:t>A management planning judgement that needs specific rationale and later auditor validation; it should never be used merely to avoid a difficult control gap.</w:t>
      </w:r>
    </w:p>
    <w:p>
      <w:r>
        <w:br w:type="page"/>
      </w:r>
    </w:p>
    <w:p>
      <w:pPr>
        <w:pStyle w:val="Heading1"/>
      </w:pPr>
      <w:r>
        <w:rPr>
          <w:rFonts w:ascii="Aptos" w:hAnsi="Aptos"/>
          <w:b/>
          <w:color w:val="4B0983"/>
          <w:sz w:val="38"/>
        </w:rPr>
        <w:t>2. PurpleWASP SOC 2 lifecycle at a glance</w:t>
      </w:r>
    </w:p>
    <w:p>
      <w:pPr>
        <w:spacing w:after="100"/>
      </w:pPr>
      <w:r>
        <w:rPr>
          <w:rFonts w:ascii="Aptos" w:hAnsi="Aptos"/>
        </w:rPr>
        <w:t>The current SOC 2 workspace is organised as a sequence. The most reliable way to use it is to complete each layer before treating downstream readiness scores as meaningful.</w:t>
      </w:r>
    </w:p>
    <w:tbl>
      <w:tblPr>
        <w:tblStyle w:val="TableGrid"/>
        <w:tblW w:type="auto" w:w="0"/>
        <w:jc w:val="center"/>
        <w:tblLook w:firstColumn="1" w:firstRow="1" w:lastColumn="0" w:lastRow="0" w:noHBand="0" w:noVBand="1" w:val="04A0"/>
      </w:tblPr>
      <w:tblGrid>
        <w:gridCol w:w="2498"/>
        <w:gridCol w:w="2498"/>
        <w:gridCol w:w="2498"/>
        <w:gridCol w:w="2498"/>
      </w:tblGrid>
      <w:tr>
        <w:tc>
          <w:tcPr>
            <w:tcW w:type="dxa" w:w="648"/>
            <w:shd w:fill="4B0983"/>
            <w:vAlign w:val="center"/>
          </w:tcPr>
          <w:p>
            <w:pPr>
              <w:jc w:val="left"/>
            </w:pPr>
            <w:r>
              <w:rPr>
                <w:rFonts w:ascii="Aptos" w:hAnsi="Aptos"/>
                <w:b/>
                <w:color w:val="FFFFFF"/>
                <w:sz w:val="17"/>
              </w:rPr>
              <w:t>Stage</w:t>
            </w:r>
          </w:p>
        </w:tc>
        <w:tc>
          <w:tcPr>
            <w:tcW w:type="dxa" w:w="2160"/>
            <w:shd w:fill="4B0983"/>
            <w:vAlign w:val="center"/>
          </w:tcPr>
          <w:p>
            <w:pPr>
              <w:jc w:val="left"/>
            </w:pPr>
            <w:r>
              <w:rPr>
                <w:rFonts w:ascii="Aptos" w:hAnsi="Aptos"/>
                <w:b/>
                <w:color w:val="FFFFFF"/>
                <w:sz w:val="17"/>
              </w:rPr>
              <w:t>PurpleWASP page</w:t>
            </w:r>
          </w:p>
        </w:tc>
        <w:tc>
          <w:tcPr>
            <w:tcW w:type="dxa" w:w="4536"/>
            <w:shd w:fill="4B0983"/>
            <w:vAlign w:val="center"/>
          </w:tcPr>
          <w:p>
            <w:pPr>
              <w:jc w:val="left"/>
            </w:pPr>
            <w:r>
              <w:rPr>
                <w:rFonts w:ascii="Aptos" w:hAnsi="Aptos"/>
                <w:b/>
                <w:color w:val="FFFFFF"/>
                <w:sz w:val="17"/>
              </w:rPr>
              <w:t>Purpose</w:t>
            </w:r>
          </w:p>
        </w:tc>
        <w:tc>
          <w:tcPr>
            <w:tcW w:type="dxa" w:w="2880"/>
            <w:shd w:fill="4B0983"/>
            <w:vAlign w:val="center"/>
          </w:tcPr>
          <w:p>
            <w:pPr>
              <w:jc w:val="left"/>
            </w:pPr>
            <w:r>
              <w:rPr>
                <w:rFonts w:ascii="Aptos" w:hAnsi="Aptos"/>
                <w:b/>
                <w:color w:val="FFFFFF"/>
                <w:sz w:val="17"/>
              </w:rPr>
              <w:t>Exit condition</w:t>
            </w:r>
          </w:p>
        </w:tc>
      </w:tr>
      <w:tr>
        <w:tc>
          <w:tcPr>
            <w:tcW w:type="dxa" w:w="648"/>
            <w:vAlign w:val="top"/>
            <w:tcBorders>
              <w:top w:val="single" w:sz="4" w:color="D8D2DE"/>
              <w:left w:val="single" w:sz="4" w:color="D8D2DE"/>
              <w:bottom w:val="single" w:sz="4" w:color="D8D2DE"/>
              <w:right w:val="single" w:sz="4" w:color="D8D2DE"/>
            </w:tcBorders>
          </w:tcPr>
          <w:p>
            <w:r>
              <w:rPr>
                <w:rFonts w:ascii="Aptos" w:hAnsi="Aptos"/>
                <w:sz w:val="17"/>
              </w:rPr>
              <w:t>1</w:t>
            </w:r>
          </w:p>
        </w:tc>
        <w:tc>
          <w:tcPr>
            <w:tcW w:type="dxa" w:w="2160"/>
            <w:vAlign w:val="top"/>
            <w:tcBorders>
              <w:top w:val="single" w:sz="4" w:color="D8D2DE"/>
              <w:left w:val="single" w:sz="4" w:color="D8D2DE"/>
              <w:bottom w:val="single" w:sz="4" w:color="D8D2DE"/>
              <w:right w:val="single" w:sz="4" w:color="D8D2DE"/>
            </w:tcBorders>
          </w:tcPr>
          <w:p>
            <w:r>
              <w:rPr>
                <w:rFonts w:ascii="Aptos" w:hAnsi="Aptos"/>
                <w:sz w:val="17"/>
              </w:rPr>
              <w:t>Scope Setup - Trust Services scope</w:t>
            </w:r>
          </w:p>
        </w:tc>
        <w:tc>
          <w:tcPr>
            <w:tcW w:type="dxa" w:w="4536"/>
            <w:vAlign w:val="top"/>
            <w:tcBorders>
              <w:top w:val="single" w:sz="4" w:color="D8D2DE"/>
              <w:left w:val="single" w:sz="4" w:color="D8D2DE"/>
              <w:bottom w:val="single" w:sz="4" w:color="D8D2DE"/>
              <w:right w:val="single" w:sz="4" w:color="D8D2DE"/>
            </w:tcBorders>
          </w:tcPr>
          <w:p>
            <w:r>
              <w:rPr>
                <w:rFonts w:ascii="Aptos" w:hAnsi="Aptos"/>
                <w:sz w:val="17"/>
              </w:rPr>
              <w:t>Choose Security plus any justified optional categories.</w:t>
            </w:r>
          </w:p>
        </w:tc>
        <w:tc>
          <w:tcPr>
            <w:tcW w:type="dxa" w:w="2880"/>
            <w:vAlign w:val="top"/>
            <w:tcBorders>
              <w:top w:val="single" w:sz="4" w:color="D8D2DE"/>
              <w:left w:val="single" w:sz="4" w:color="D8D2DE"/>
              <w:bottom w:val="single" w:sz="4" w:color="D8D2DE"/>
              <w:right w:val="single" w:sz="4" w:color="D8D2DE"/>
            </w:tcBorders>
          </w:tcPr>
          <w:p>
            <w:r>
              <w:rPr>
                <w:rFonts w:ascii="Aptos" w:hAnsi="Aptos"/>
                <w:sz w:val="17"/>
              </w:rPr>
              <w:t>Category selection is reviewed and carried into Step 2.</w:t>
            </w:r>
          </w:p>
        </w:tc>
      </w:tr>
      <w:tr>
        <w:tc>
          <w:tcPr>
            <w:tcW w:type="dxa" w:w="648"/>
            <w:vAlign w:val="top"/>
            <w:tcBorders>
              <w:top w:val="single" w:sz="4" w:color="D8D2DE"/>
              <w:left w:val="single" w:sz="4" w:color="D8D2DE"/>
              <w:bottom w:val="single" w:sz="4" w:color="D8D2DE"/>
              <w:right w:val="single" w:sz="4" w:color="D8D2DE"/>
            </w:tcBorders>
          </w:tcPr>
          <w:p>
            <w:r>
              <w:rPr>
                <w:rFonts w:ascii="Aptos" w:hAnsi="Aptos"/>
                <w:sz w:val="17"/>
              </w:rPr>
              <w:t>2</w:t>
            </w:r>
          </w:p>
        </w:tc>
        <w:tc>
          <w:tcPr>
            <w:tcW w:type="dxa" w:w="2160"/>
            <w:vAlign w:val="top"/>
            <w:tcBorders>
              <w:top w:val="single" w:sz="4" w:color="D8D2DE"/>
              <w:left w:val="single" w:sz="4" w:color="D8D2DE"/>
              <w:bottom w:val="single" w:sz="4" w:color="D8D2DE"/>
              <w:right w:val="single" w:sz="4" w:color="D8D2DE"/>
            </w:tcBorders>
          </w:tcPr>
          <w:p>
            <w:r>
              <w:rPr>
                <w:rFonts w:ascii="Aptos" w:hAnsi="Aptos"/>
                <w:sz w:val="17"/>
              </w:rPr>
              <w:t>System Scope Discovery</w:t>
            </w:r>
          </w:p>
        </w:tc>
        <w:tc>
          <w:tcPr>
            <w:tcW w:type="dxa" w:w="4536"/>
            <w:vAlign w:val="top"/>
            <w:tcBorders>
              <w:top w:val="single" w:sz="4" w:color="D8D2DE"/>
              <w:left w:val="single" w:sz="4" w:color="D8D2DE"/>
              <w:bottom w:val="single" w:sz="4" w:color="D8D2DE"/>
              <w:right w:val="single" w:sz="4" w:color="D8D2DE"/>
            </w:tcBorders>
          </w:tcPr>
          <w:p>
            <w:r>
              <w:rPr>
                <w:rFonts w:ascii="Aptos" w:hAnsi="Aptos"/>
                <w:sz w:val="17"/>
              </w:rPr>
              <w:t>Select boundary-anchoring processes, discover assets/third parties, add scope-only items and resolve gaps.</w:t>
            </w:r>
          </w:p>
        </w:tc>
        <w:tc>
          <w:tcPr>
            <w:tcW w:type="dxa" w:w="2880"/>
            <w:vAlign w:val="top"/>
            <w:tcBorders>
              <w:top w:val="single" w:sz="4" w:color="D8D2DE"/>
              <w:left w:val="single" w:sz="4" w:color="D8D2DE"/>
              <w:bottom w:val="single" w:sz="4" w:color="D8D2DE"/>
              <w:right w:val="single" w:sz="4" w:color="D8D2DE"/>
            </w:tcBorders>
          </w:tcPr>
          <w:p>
            <w:r>
              <w:rPr>
                <w:rFonts w:ascii="Aptos" w:hAnsi="Aptos"/>
                <w:sz w:val="17"/>
              </w:rPr>
              <w:t>No blocking or management-review scope gaps remain.</w:t>
            </w:r>
          </w:p>
        </w:tc>
      </w:tr>
      <w:tr>
        <w:tc>
          <w:tcPr>
            <w:tcW w:type="dxa" w:w="648"/>
            <w:vAlign w:val="top"/>
            <w:tcBorders>
              <w:top w:val="single" w:sz="4" w:color="D8D2DE"/>
              <w:left w:val="single" w:sz="4" w:color="D8D2DE"/>
              <w:bottom w:val="single" w:sz="4" w:color="D8D2DE"/>
              <w:right w:val="single" w:sz="4" w:color="D8D2DE"/>
            </w:tcBorders>
          </w:tcPr>
          <w:p>
            <w:r>
              <w:rPr>
                <w:rFonts w:ascii="Aptos" w:hAnsi="Aptos"/>
                <w:sz w:val="17"/>
              </w:rPr>
              <w:t>3</w:t>
            </w:r>
          </w:p>
        </w:tc>
        <w:tc>
          <w:tcPr>
            <w:tcW w:type="dxa" w:w="2160"/>
            <w:vAlign w:val="top"/>
            <w:tcBorders>
              <w:top w:val="single" w:sz="4" w:color="D8D2DE"/>
              <w:left w:val="single" w:sz="4" w:color="D8D2DE"/>
              <w:bottom w:val="single" w:sz="4" w:color="D8D2DE"/>
              <w:right w:val="single" w:sz="4" w:color="D8D2DE"/>
            </w:tcBorders>
          </w:tcPr>
          <w:p>
            <w:r>
              <w:rPr>
                <w:rFonts w:ascii="Aptos" w:hAnsi="Aptos"/>
                <w:sz w:val="17"/>
              </w:rPr>
              <w:t>Engagement &amp; System Scope</w:t>
            </w:r>
          </w:p>
        </w:tc>
        <w:tc>
          <w:tcPr>
            <w:tcW w:type="dxa" w:w="4536"/>
            <w:vAlign w:val="top"/>
            <w:tcBorders>
              <w:top w:val="single" w:sz="4" w:color="D8D2DE"/>
              <w:left w:val="single" w:sz="4" w:color="D8D2DE"/>
              <w:bottom w:val="single" w:sz="4" w:color="D8D2DE"/>
              <w:right w:val="single" w:sz="4" w:color="D8D2DE"/>
            </w:tcBorders>
          </w:tcPr>
          <w:p>
            <w:r>
              <w:rPr>
                <w:rFonts w:ascii="Aptos" w:hAnsi="Aptos"/>
                <w:sz w:val="17"/>
              </w:rPr>
              <w:t>Describe the service, users, report type/dates, subservices, CUECs and key judgements.</w:t>
            </w:r>
          </w:p>
        </w:tc>
        <w:tc>
          <w:tcPr>
            <w:tcW w:type="dxa" w:w="2880"/>
            <w:vAlign w:val="top"/>
            <w:tcBorders>
              <w:top w:val="single" w:sz="4" w:color="D8D2DE"/>
              <w:left w:val="single" w:sz="4" w:color="D8D2DE"/>
              <w:bottom w:val="single" w:sz="4" w:color="D8D2DE"/>
              <w:right w:val="single" w:sz="4" w:color="D8D2DE"/>
            </w:tcBorders>
          </w:tcPr>
          <w:p>
            <w:r>
              <w:rPr>
                <w:rFonts w:ascii="Aptos" w:hAnsi="Aptos"/>
                <w:sz w:val="17"/>
              </w:rPr>
              <w:t>Completeness check passes and Step 3 is marked ready.</w:t>
            </w:r>
          </w:p>
        </w:tc>
      </w:tr>
      <w:tr>
        <w:tc>
          <w:tcPr>
            <w:tcW w:type="dxa" w:w="648"/>
            <w:vAlign w:val="top"/>
            <w:tcBorders>
              <w:top w:val="single" w:sz="4" w:color="D8D2DE"/>
              <w:left w:val="single" w:sz="4" w:color="D8D2DE"/>
              <w:bottom w:val="single" w:sz="4" w:color="D8D2DE"/>
              <w:right w:val="single" w:sz="4" w:color="D8D2DE"/>
            </w:tcBorders>
          </w:tcPr>
          <w:p>
            <w:r>
              <w:rPr>
                <w:rFonts w:ascii="Aptos" w:hAnsi="Aptos"/>
                <w:sz w:val="17"/>
              </w:rPr>
              <w:t>4</w:t>
            </w:r>
          </w:p>
        </w:tc>
        <w:tc>
          <w:tcPr>
            <w:tcW w:type="dxa" w:w="2160"/>
            <w:vAlign w:val="top"/>
            <w:tcBorders>
              <w:top w:val="single" w:sz="4" w:color="D8D2DE"/>
              <w:left w:val="single" w:sz="4" w:color="D8D2DE"/>
              <w:bottom w:val="single" w:sz="4" w:color="D8D2DE"/>
              <w:right w:val="single" w:sz="4" w:color="D8D2DE"/>
            </w:tcBorders>
          </w:tcPr>
          <w:p>
            <w:r>
              <w:rPr>
                <w:rFonts w:ascii="Aptos" w:hAnsi="Aptos"/>
                <w:sz w:val="17"/>
              </w:rPr>
              <w:t>Review &amp; Confirm</w:t>
            </w:r>
          </w:p>
        </w:tc>
        <w:tc>
          <w:tcPr>
            <w:tcW w:type="dxa" w:w="4536"/>
            <w:vAlign w:val="top"/>
            <w:tcBorders>
              <w:top w:val="single" w:sz="4" w:color="D8D2DE"/>
              <w:left w:val="single" w:sz="4" w:color="D8D2DE"/>
              <w:bottom w:val="single" w:sz="4" w:color="D8D2DE"/>
              <w:right w:val="single" w:sz="4" w:color="D8D2DE"/>
            </w:tcBorders>
          </w:tcPr>
          <w:p>
            <w:r>
              <w:rPr>
                <w:rFonts w:ascii="Aptos" w:hAnsi="Aptos"/>
                <w:sz w:val="17"/>
              </w:rPr>
              <w:t>Perform the final validation gate and create a confirmed engagement snapshot.</w:t>
            </w:r>
          </w:p>
        </w:tc>
        <w:tc>
          <w:tcPr>
            <w:tcW w:type="dxa" w:w="2880"/>
            <w:vAlign w:val="top"/>
            <w:tcBorders>
              <w:top w:val="single" w:sz="4" w:color="D8D2DE"/>
              <w:left w:val="single" w:sz="4" w:color="D8D2DE"/>
              <w:bottom w:val="single" w:sz="4" w:color="D8D2DE"/>
              <w:right w:val="single" w:sz="4" w:color="D8D2DE"/>
            </w:tcBorders>
          </w:tcPr>
          <w:p>
            <w:r>
              <w:rPr>
                <w:rFonts w:ascii="Aptos" w:hAnsi="Aptos"/>
                <w:sz w:val="17"/>
              </w:rPr>
              <w:t>Confirmed SOC 2 configuration exists.</w:t>
            </w:r>
          </w:p>
        </w:tc>
      </w:tr>
      <w:tr>
        <w:tc>
          <w:tcPr>
            <w:tcW w:type="dxa" w:w="648"/>
            <w:vAlign w:val="top"/>
            <w:tcBorders>
              <w:top w:val="single" w:sz="4" w:color="D8D2DE"/>
              <w:left w:val="single" w:sz="4" w:color="D8D2DE"/>
              <w:bottom w:val="single" w:sz="4" w:color="D8D2DE"/>
              <w:right w:val="single" w:sz="4" w:color="D8D2DE"/>
            </w:tcBorders>
          </w:tcPr>
          <w:p>
            <w:r>
              <w:rPr>
                <w:rFonts w:ascii="Aptos" w:hAnsi="Aptos"/>
                <w:sz w:val="17"/>
              </w:rPr>
              <w:t>5</w:t>
            </w:r>
          </w:p>
        </w:tc>
        <w:tc>
          <w:tcPr>
            <w:tcW w:type="dxa" w:w="2160"/>
            <w:vAlign w:val="top"/>
            <w:tcBorders>
              <w:top w:val="single" w:sz="4" w:color="D8D2DE"/>
              <w:left w:val="single" w:sz="4" w:color="D8D2DE"/>
              <w:bottom w:val="single" w:sz="4" w:color="D8D2DE"/>
              <w:right w:val="single" w:sz="4" w:color="D8D2DE"/>
            </w:tcBorders>
          </w:tcPr>
          <w:p>
            <w:r>
              <w:rPr>
                <w:rFonts w:ascii="Aptos" w:hAnsi="Aptos"/>
                <w:sz w:val="17"/>
              </w:rPr>
              <w:t>Criteria Workspace</w:t>
            </w:r>
          </w:p>
        </w:tc>
        <w:tc>
          <w:tcPr>
            <w:tcW w:type="dxa" w:w="4536"/>
            <w:vAlign w:val="top"/>
            <w:tcBorders>
              <w:top w:val="single" w:sz="4" w:color="D8D2DE"/>
              <w:left w:val="single" w:sz="4" w:color="D8D2DE"/>
              <w:bottom w:val="single" w:sz="4" w:color="D8D2DE"/>
              <w:right w:val="single" w:sz="4" w:color="D8D2DE"/>
            </w:tcBorders>
          </w:tcPr>
          <w:p>
            <w:r>
              <w:rPr>
                <w:rFonts w:ascii="Aptos" w:hAnsi="Aptos"/>
                <w:sz w:val="17"/>
              </w:rPr>
              <w:t>Review applicable criteria and mapped candidate/selected controls.</w:t>
            </w:r>
          </w:p>
        </w:tc>
        <w:tc>
          <w:tcPr>
            <w:tcW w:type="dxa" w:w="2880"/>
            <w:vAlign w:val="top"/>
            <w:tcBorders>
              <w:top w:val="single" w:sz="4" w:color="D8D2DE"/>
              <w:left w:val="single" w:sz="4" w:color="D8D2DE"/>
              <w:bottom w:val="single" w:sz="4" w:color="D8D2DE"/>
              <w:right w:val="single" w:sz="4" w:color="D8D2DE"/>
            </w:tcBorders>
          </w:tcPr>
          <w:p>
            <w:r>
              <w:rPr>
                <w:rFonts w:ascii="Aptos" w:hAnsi="Aptos"/>
                <w:sz w:val="17"/>
              </w:rPr>
              <w:t>Coverage questions are understood and candidate controls are adopted where appropriate.</w:t>
            </w:r>
          </w:p>
        </w:tc>
      </w:tr>
      <w:tr>
        <w:tc>
          <w:tcPr>
            <w:tcW w:type="dxa" w:w="648"/>
            <w:vAlign w:val="top"/>
            <w:tcBorders>
              <w:top w:val="single" w:sz="4" w:color="D8D2DE"/>
              <w:left w:val="single" w:sz="4" w:color="D8D2DE"/>
              <w:bottom w:val="single" w:sz="4" w:color="D8D2DE"/>
              <w:right w:val="single" w:sz="4" w:color="D8D2DE"/>
            </w:tcBorders>
          </w:tcPr>
          <w:p>
            <w:r>
              <w:rPr>
                <w:rFonts w:ascii="Aptos" w:hAnsi="Aptos"/>
                <w:sz w:val="17"/>
              </w:rPr>
              <w:t>6</w:t>
            </w:r>
          </w:p>
        </w:tc>
        <w:tc>
          <w:tcPr>
            <w:tcW w:type="dxa" w:w="2160"/>
            <w:vAlign w:val="top"/>
            <w:tcBorders>
              <w:top w:val="single" w:sz="4" w:color="D8D2DE"/>
              <w:left w:val="single" w:sz="4" w:color="D8D2DE"/>
              <w:bottom w:val="single" w:sz="4" w:color="D8D2DE"/>
              <w:right w:val="single" w:sz="4" w:color="D8D2DE"/>
            </w:tcBorders>
          </w:tcPr>
          <w:p>
            <w:r>
              <w:rPr>
                <w:rFonts w:ascii="Aptos" w:hAnsi="Aptos"/>
                <w:sz w:val="17"/>
              </w:rPr>
              <w:t>Control Coverage Plan</w:t>
            </w:r>
          </w:p>
        </w:tc>
        <w:tc>
          <w:tcPr>
            <w:tcW w:type="dxa" w:w="4536"/>
            <w:vAlign w:val="top"/>
            <w:tcBorders>
              <w:top w:val="single" w:sz="4" w:color="D8D2DE"/>
              <w:left w:val="single" w:sz="4" w:color="D8D2DE"/>
              <w:bottom w:val="single" w:sz="4" w:color="D8D2DE"/>
              <w:right w:val="single" w:sz="4" w:color="D8D2DE"/>
            </w:tcBorders>
          </w:tcPr>
          <w:p>
            <w:r>
              <w:rPr>
                <w:rFonts w:ascii="Aptos" w:hAnsi="Aptos"/>
                <w:sz w:val="17"/>
              </w:rPr>
              <w:t>Explicitly select adopted controls management will rely on.</w:t>
            </w:r>
          </w:p>
        </w:tc>
        <w:tc>
          <w:tcPr>
            <w:tcW w:type="dxa" w:w="2880"/>
            <w:vAlign w:val="top"/>
            <w:tcBorders>
              <w:top w:val="single" w:sz="4" w:color="D8D2DE"/>
              <w:left w:val="single" w:sz="4" w:color="D8D2DE"/>
              <w:bottom w:val="single" w:sz="4" w:color="D8D2DE"/>
              <w:right w:val="single" w:sz="4" w:color="D8D2DE"/>
            </w:tcBorders>
          </w:tcPr>
          <w:p>
            <w:r>
              <w:rPr>
                <w:rFonts w:ascii="Aptos" w:hAnsi="Aptos"/>
                <w:sz w:val="17"/>
              </w:rPr>
              <w:t>Every applicable criterion has a defensible coverage plan.</w:t>
            </w:r>
          </w:p>
        </w:tc>
      </w:tr>
      <w:tr>
        <w:tc>
          <w:tcPr>
            <w:tcW w:type="dxa" w:w="648"/>
            <w:vAlign w:val="top"/>
            <w:tcBorders>
              <w:top w:val="single" w:sz="4" w:color="D8D2DE"/>
              <w:left w:val="single" w:sz="4" w:color="D8D2DE"/>
              <w:bottom w:val="single" w:sz="4" w:color="D8D2DE"/>
              <w:right w:val="single" w:sz="4" w:color="D8D2DE"/>
            </w:tcBorders>
          </w:tcPr>
          <w:p>
            <w:r>
              <w:rPr>
                <w:rFonts w:ascii="Aptos" w:hAnsi="Aptos"/>
                <w:sz w:val="17"/>
              </w:rPr>
              <w:t>7</w:t>
            </w:r>
          </w:p>
        </w:tc>
        <w:tc>
          <w:tcPr>
            <w:tcW w:type="dxa" w:w="2160"/>
            <w:vAlign w:val="top"/>
            <w:tcBorders>
              <w:top w:val="single" w:sz="4" w:color="D8D2DE"/>
              <w:left w:val="single" w:sz="4" w:color="D8D2DE"/>
              <w:bottom w:val="single" w:sz="4" w:color="D8D2DE"/>
              <w:right w:val="single" w:sz="4" w:color="D8D2DE"/>
            </w:tcBorders>
          </w:tcPr>
          <w:p>
            <w:r>
              <w:rPr>
                <w:rFonts w:ascii="Aptos" w:hAnsi="Aptos"/>
                <w:sz w:val="17"/>
              </w:rPr>
              <w:t>Implementation + Assessment</w:t>
            </w:r>
          </w:p>
        </w:tc>
        <w:tc>
          <w:tcPr>
            <w:tcW w:type="dxa" w:w="4536"/>
            <w:vAlign w:val="top"/>
            <w:tcBorders>
              <w:top w:val="single" w:sz="4" w:color="D8D2DE"/>
              <w:left w:val="single" w:sz="4" w:color="D8D2DE"/>
              <w:bottom w:val="single" w:sz="4" w:color="D8D2DE"/>
              <w:right w:val="single" w:sz="4" w:color="D8D2DE"/>
            </w:tcBorders>
          </w:tcPr>
          <w:p>
            <w:r>
              <w:rPr>
                <w:rFonts w:ascii="Aptos" w:hAnsi="Aptos"/>
                <w:sz w:val="17"/>
              </w:rPr>
              <w:t>Document how selected controls operate and evaluate design/operating effectiveness.</w:t>
            </w:r>
          </w:p>
        </w:tc>
        <w:tc>
          <w:tcPr>
            <w:tcW w:type="dxa" w:w="2880"/>
            <w:vAlign w:val="top"/>
            <w:tcBorders>
              <w:top w:val="single" w:sz="4" w:color="D8D2DE"/>
              <w:left w:val="single" w:sz="4" w:color="D8D2DE"/>
              <w:bottom w:val="single" w:sz="4" w:color="D8D2DE"/>
              <w:right w:val="single" w:sz="4" w:color="D8D2DE"/>
            </w:tcBorders>
          </w:tcPr>
          <w:p>
            <w:r>
              <w:rPr>
                <w:rFonts w:ascii="Aptos" w:hAnsi="Aptos"/>
                <w:sz w:val="17"/>
              </w:rPr>
              <w:t>Selected controls have current implementation records and appropriate final assessments.</w:t>
            </w:r>
          </w:p>
        </w:tc>
      </w:tr>
      <w:tr>
        <w:tc>
          <w:tcPr>
            <w:tcW w:type="dxa" w:w="648"/>
            <w:vAlign w:val="top"/>
            <w:tcBorders>
              <w:top w:val="single" w:sz="4" w:color="D8D2DE"/>
              <w:left w:val="single" w:sz="4" w:color="D8D2DE"/>
              <w:bottom w:val="single" w:sz="4" w:color="D8D2DE"/>
              <w:right w:val="single" w:sz="4" w:color="D8D2DE"/>
            </w:tcBorders>
          </w:tcPr>
          <w:p>
            <w:r>
              <w:rPr>
                <w:rFonts w:ascii="Aptos" w:hAnsi="Aptos"/>
                <w:sz w:val="17"/>
              </w:rPr>
              <w:t>8</w:t>
            </w:r>
          </w:p>
        </w:tc>
        <w:tc>
          <w:tcPr>
            <w:tcW w:type="dxa" w:w="2160"/>
            <w:vAlign w:val="top"/>
            <w:tcBorders>
              <w:top w:val="single" w:sz="4" w:color="D8D2DE"/>
              <w:left w:val="single" w:sz="4" w:color="D8D2DE"/>
              <w:bottom w:val="single" w:sz="4" w:color="D8D2DE"/>
              <w:right w:val="single" w:sz="4" w:color="D8D2DE"/>
            </w:tcBorders>
          </w:tcPr>
          <w:p>
            <w:r>
              <w:rPr>
                <w:rFonts w:ascii="Aptos" w:hAnsi="Aptos"/>
                <w:sz w:val="17"/>
              </w:rPr>
              <w:t>Evidence + Testing</w:t>
            </w:r>
          </w:p>
        </w:tc>
        <w:tc>
          <w:tcPr>
            <w:tcW w:type="dxa" w:w="4536"/>
            <w:vAlign w:val="top"/>
            <w:tcBorders>
              <w:top w:val="single" w:sz="4" w:color="D8D2DE"/>
              <w:left w:val="single" w:sz="4" w:color="D8D2DE"/>
              <w:bottom w:val="single" w:sz="4" w:color="D8D2DE"/>
              <w:right w:val="single" w:sz="4" w:color="D8D2DE"/>
            </w:tcBorders>
          </w:tcPr>
          <w:p>
            <w:r>
              <w:rPr>
                <w:rFonts w:ascii="Aptos" w:hAnsi="Aptos"/>
                <w:sz w:val="17"/>
              </w:rPr>
              <w:t>Link current/period evidence and record test plans/runs.</w:t>
            </w:r>
          </w:p>
        </w:tc>
        <w:tc>
          <w:tcPr>
            <w:tcW w:type="dxa" w:w="2880"/>
            <w:vAlign w:val="top"/>
            <w:tcBorders>
              <w:top w:val="single" w:sz="4" w:color="D8D2DE"/>
              <w:left w:val="single" w:sz="4" w:color="D8D2DE"/>
              <w:bottom w:val="single" w:sz="4" w:color="D8D2DE"/>
              <w:right w:val="single" w:sz="4" w:color="D8D2DE"/>
            </w:tcBorders>
          </w:tcPr>
          <w:p>
            <w:r>
              <w:rPr>
                <w:rFonts w:ascii="Aptos" w:hAnsi="Aptos"/>
                <w:sz w:val="17"/>
              </w:rPr>
              <w:t>Evidence and testing support the selected control population and, for Type II, the observation period.</w:t>
            </w:r>
          </w:p>
        </w:tc>
      </w:tr>
      <w:tr>
        <w:tc>
          <w:tcPr>
            <w:tcW w:type="dxa" w:w="648"/>
            <w:vAlign w:val="top"/>
            <w:tcBorders>
              <w:top w:val="single" w:sz="4" w:color="D8D2DE"/>
              <w:left w:val="single" w:sz="4" w:color="D8D2DE"/>
              <w:bottom w:val="single" w:sz="4" w:color="D8D2DE"/>
              <w:right w:val="single" w:sz="4" w:color="D8D2DE"/>
            </w:tcBorders>
          </w:tcPr>
          <w:p>
            <w:r>
              <w:rPr>
                <w:rFonts w:ascii="Aptos" w:hAnsi="Aptos"/>
                <w:sz w:val="17"/>
              </w:rPr>
              <w:t>9</w:t>
            </w:r>
          </w:p>
        </w:tc>
        <w:tc>
          <w:tcPr>
            <w:tcW w:type="dxa" w:w="2160"/>
            <w:vAlign w:val="top"/>
            <w:tcBorders>
              <w:top w:val="single" w:sz="4" w:color="D8D2DE"/>
              <w:left w:val="single" w:sz="4" w:color="D8D2DE"/>
              <w:bottom w:val="single" w:sz="4" w:color="D8D2DE"/>
              <w:right w:val="single" w:sz="4" w:color="D8D2DE"/>
            </w:tcBorders>
          </w:tcPr>
          <w:p>
            <w:r>
              <w:rPr>
                <w:rFonts w:ascii="Aptos" w:hAnsi="Aptos"/>
                <w:sz w:val="17"/>
              </w:rPr>
              <w:t>Operational Readiness + Remediation</w:t>
            </w:r>
          </w:p>
        </w:tc>
        <w:tc>
          <w:tcPr>
            <w:tcW w:type="dxa" w:w="4536"/>
            <w:vAlign w:val="top"/>
            <w:tcBorders>
              <w:top w:val="single" w:sz="4" w:color="D8D2DE"/>
              <w:left w:val="single" w:sz="4" w:color="D8D2DE"/>
              <w:bottom w:val="single" w:sz="4" w:color="D8D2DE"/>
              <w:right w:val="single" w:sz="4" w:color="D8D2DE"/>
            </w:tcBorders>
          </w:tcPr>
          <w:p>
            <w:r>
              <w:rPr>
                <w:rFonts w:ascii="Aptos" w:hAnsi="Aptos"/>
                <w:sz w:val="17"/>
              </w:rPr>
              <w:t>Review signals; create issues/exceptions; record control decisions.</w:t>
            </w:r>
          </w:p>
        </w:tc>
        <w:tc>
          <w:tcPr>
            <w:tcW w:type="dxa" w:w="2880"/>
            <w:vAlign w:val="top"/>
            <w:tcBorders>
              <w:top w:val="single" w:sz="4" w:color="D8D2DE"/>
              <w:left w:val="single" w:sz="4" w:color="D8D2DE"/>
              <w:bottom w:val="single" w:sz="4" w:color="D8D2DE"/>
              <w:right w:val="single" w:sz="4" w:color="D8D2DE"/>
            </w:tcBorders>
          </w:tcPr>
          <w:p>
            <w:r>
              <w:rPr>
                <w:rFonts w:ascii="Aptos" w:hAnsi="Aptos"/>
                <w:sz w:val="17"/>
              </w:rPr>
              <w:t>Material control blockers are resolved, accepted with rationale, or explicitly not ready.</w:t>
            </w:r>
          </w:p>
        </w:tc>
      </w:tr>
      <w:tr>
        <w:tc>
          <w:tcPr>
            <w:tcW w:type="dxa" w:w="648"/>
            <w:vAlign w:val="top"/>
            <w:tcBorders>
              <w:top w:val="single" w:sz="4" w:color="D8D2DE"/>
              <w:left w:val="single" w:sz="4" w:color="D8D2DE"/>
              <w:bottom w:val="single" w:sz="4" w:color="D8D2DE"/>
              <w:right w:val="single" w:sz="4" w:color="D8D2DE"/>
            </w:tcBorders>
          </w:tcPr>
          <w:p>
            <w:r>
              <w:rPr>
                <w:rFonts w:ascii="Aptos" w:hAnsi="Aptos"/>
                <w:sz w:val="17"/>
              </w:rPr>
              <w:t>10</w:t>
            </w:r>
          </w:p>
        </w:tc>
        <w:tc>
          <w:tcPr>
            <w:tcW w:type="dxa" w:w="2160"/>
            <w:vAlign w:val="top"/>
            <w:tcBorders>
              <w:top w:val="single" w:sz="4" w:color="D8D2DE"/>
              <w:left w:val="single" w:sz="4" w:color="D8D2DE"/>
              <w:bottom w:val="single" w:sz="4" w:color="D8D2DE"/>
              <w:right w:val="single" w:sz="4" w:color="D8D2DE"/>
            </w:tcBorders>
          </w:tcPr>
          <w:p>
            <w:r>
              <w:rPr>
                <w:rFonts w:ascii="Aptos" w:hAnsi="Aptos"/>
                <w:sz w:val="17"/>
              </w:rPr>
              <w:t>Audit Readiness</w:t>
            </w:r>
          </w:p>
        </w:tc>
        <w:tc>
          <w:tcPr>
            <w:tcW w:type="dxa" w:w="4536"/>
            <w:vAlign w:val="top"/>
            <w:tcBorders>
              <w:top w:val="single" w:sz="4" w:color="D8D2DE"/>
              <w:left w:val="single" w:sz="4" w:color="D8D2DE"/>
              <w:bottom w:val="single" w:sz="4" w:color="D8D2DE"/>
              <w:right w:val="single" w:sz="4" w:color="D8D2DE"/>
            </w:tcBorders>
          </w:tcPr>
          <w:p>
            <w:r>
              <w:rPr>
                <w:rFonts w:ascii="Aptos" w:hAnsi="Aptos"/>
                <w:sz w:val="17"/>
              </w:rPr>
              <w:t>Record criterion decisions and the engagement decision.</w:t>
            </w:r>
          </w:p>
        </w:tc>
        <w:tc>
          <w:tcPr>
            <w:tcW w:type="dxa" w:w="2880"/>
            <w:vAlign w:val="top"/>
            <w:tcBorders>
              <w:top w:val="single" w:sz="4" w:color="D8D2DE"/>
              <w:left w:val="single" w:sz="4" w:color="D8D2DE"/>
              <w:bottom w:val="single" w:sz="4" w:color="D8D2DE"/>
              <w:right w:val="single" w:sz="4" w:color="D8D2DE"/>
            </w:tcBorders>
          </w:tcPr>
          <w:p>
            <w:r>
              <w:rPr>
                <w:rFonts w:ascii="Aptos" w:hAnsi="Aptos"/>
                <w:sz w:val="17"/>
              </w:rPr>
              <w:t>All applicable criteria and the engagement have an explicit, defensible decision.</w:t>
            </w:r>
          </w:p>
        </w:tc>
      </w:tr>
    </w:tbl>
    <w:p>
      <w:pPr>
        <w:spacing w:after="20"/>
      </w:pPr>
    </w:p>
    <w:tbl>
      <w:tblPr>
        <w:tblW w:type="auto" w:w="0"/>
        <w:jc w:val="center"/>
        <w:tblLayout w:type="autofit"/>
        <w:tblLook w:firstColumn="1" w:firstRow="1" w:lastColumn="0" w:lastRow="0" w:noHBand="0" w:noVBand="1" w:val="04A0"/>
      </w:tblPr>
      <w:tblGrid>
        <w:gridCol w:w="9994"/>
      </w:tblGrid>
      <w:tr>
        <w:tc>
          <w:tcPr>
            <w:tcW w:type="dxa" w:w="9994"/>
            <w:shd w:fill="EEF8F2"/>
            <w:tcBorders>
              <w:top w:val="nil"/>
              <w:left w:val="single" w:sz="18" w:color="167C46"/>
              <w:bottom w:val="nil"/>
              <w:right w:val="nil"/>
            </w:tcBorders>
          </w:tcPr>
          <w:p>
            <w:pPr>
              <w:spacing w:after="60"/>
            </w:pPr>
            <w:r>
              <w:rPr>
                <w:rFonts w:ascii="Aptos" w:hAnsi="Aptos"/>
                <w:b/>
                <w:color w:val="167C46"/>
                <w:sz w:val="21"/>
              </w:rPr>
              <w:t>Recommended order</w:t>
            </w:r>
          </w:p>
          <w:p>
            <w:pPr>
              <w:spacing w:after="0"/>
            </w:pPr>
            <w:r>
              <w:rPr>
                <w:rFonts w:ascii="Aptos" w:hAnsi="Aptos"/>
                <w:sz w:val="19"/>
              </w:rPr>
              <w:t>Do not jump directly to Audit Readiness. A green or red conclusion only becomes meaningful after management has confirmed scope, selected coverage controls, documented implementation, and populated the underlying assessment/evidence/testing signals.</w:t>
            </w:r>
          </w:p>
        </w:tc>
      </w:tr>
    </w:tbl>
    <w:p>
      <w:pPr>
        <w:spacing w:after="20"/>
      </w:pPr>
    </w:p>
    <w:p>
      <w:r>
        <w:br w:type="page"/>
      </w:r>
    </w:p>
    <w:p>
      <w:pPr>
        <w:pStyle w:val="Heading1"/>
      </w:pPr>
      <w:r>
        <w:rPr>
          <w:rFonts w:ascii="Aptos" w:hAnsi="Aptos"/>
          <w:b/>
          <w:color w:val="4B0983"/>
          <w:sz w:val="38"/>
        </w:rPr>
        <w:t>3. Roles and responsibilities</w:t>
      </w:r>
    </w:p>
    <w:tbl>
      <w:tblPr>
        <w:tblStyle w:val="TableGrid"/>
        <w:tblW w:type="auto" w:w="0"/>
        <w:jc w:val="center"/>
        <w:tblLook w:firstColumn="1" w:firstRow="1" w:lastColumn="0" w:lastRow="0" w:noHBand="0" w:noVBand="1" w:val="04A0"/>
      </w:tblPr>
      <w:tblGrid>
        <w:gridCol w:w="4997"/>
        <w:gridCol w:w="4997"/>
      </w:tblGrid>
      <w:tr>
        <w:tc>
          <w:tcPr>
            <w:tcW w:type="dxa" w:w="2304"/>
            <w:shd w:fill="4B0983"/>
            <w:vAlign w:val="center"/>
          </w:tcPr>
          <w:p>
            <w:pPr>
              <w:jc w:val="left"/>
            </w:pPr>
            <w:r>
              <w:rPr>
                <w:rFonts w:ascii="Aptos" w:hAnsi="Aptos"/>
                <w:b/>
                <w:color w:val="FFFFFF"/>
                <w:sz w:val="17"/>
              </w:rPr>
              <w:t>Role</w:t>
            </w:r>
          </w:p>
        </w:tc>
        <w:tc>
          <w:tcPr>
            <w:tcW w:type="dxa" w:w="8496"/>
            <w:shd w:fill="4B0983"/>
            <w:vAlign w:val="center"/>
          </w:tcPr>
          <w:p>
            <w:pPr>
              <w:jc w:val="left"/>
            </w:pPr>
            <w:r>
              <w:rPr>
                <w:rFonts w:ascii="Aptos" w:hAnsi="Aptos"/>
                <w:b/>
                <w:color w:val="FFFFFF"/>
                <w:sz w:val="17"/>
              </w:rPr>
              <w:t>Typical responsibilities in PurpleWASP</w:t>
            </w:r>
          </w:p>
        </w:tc>
      </w:tr>
      <w:tr>
        <w:tc>
          <w:tcPr>
            <w:tcW w:type="dxa" w:w="2304"/>
            <w:vAlign w:val="top"/>
            <w:tcBorders>
              <w:top w:val="single" w:sz="4" w:color="D8D2DE"/>
              <w:left w:val="single" w:sz="4" w:color="D8D2DE"/>
              <w:bottom w:val="single" w:sz="4" w:color="D8D2DE"/>
              <w:right w:val="single" w:sz="4" w:color="D8D2DE"/>
            </w:tcBorders>
          </w:tcPr>
          <w:p>
            <w:r>
              <w:rPr>
                <w:rFonts w:ascii="Aptos" w:hAnsi="Aptos"/>
                <w:sz w:val="17"/>
              </w:rPr>
              <w:t>Executive / service owner</w:t>
            </w:r>
          </w:p>
        </w:tc>
        <w:tc>
          <w:tcPr>
            <w:tcW w:type="dxa" w:w="8496"/>
            <w:vAlign w:val="top"/>
            <w:tcBorders>
              <w:top w:val="single" w:sz="4" w:color="D8D2DE"/>
              <w:left w:val="single" w:sz="4" w:color="D8D2DE"/>
              <w:bottom w:val="single" w:sz="4" w:color="D8D2DE"/>
              <w:right w:val="single" w:sz="4" w:color="D8D2DE"/>
            </w:tcBorders>
          </w:tcPr>
          <w:p>
            <w:r>
              <w:rPr>
                <w:rFonts w:ascii="Aptos" w:hAnsi="Aptos"/>
                <w:sz w:val="17"/>
              </w:rPr>
              <w:t>Approves the system scope, service commitments, material judgements, subservice/CUEC decisions and final readiness position.</w:t>
            </w:r>
          </w:p>
        </w:tc>
      </w:tr>
      <w:tr>
        <w:tc>
          <w:tcPr>
            <w:tcW w:type="dxa" w:w="2304"/>
            <w:vAlign w:val="top"/>
            <w:tcBorders>
              <w:top w:val="single" w:sz="4" w:color="D8D2DE"/>
              <w:left w:val="single" w:sz="4" w:color="D8D2DE"/>
              <w:bottom w:val="single" w:sz="4" w:color="D8D2DE"/>
              <w:right w:val="single" w:sz="4" w:color="D8D2DE"/>
            </w:tcBorders>
          </w:tcPr>
          <w:p>
            <w:r>
              <w:rPr>
                <w:rFonts w:ascii="Aptos" w:hAnsi="Aptos"/>
                <w:sz w:val="17"/>
              </w:rPr>
              <w:t>Compliance manager / SOC 2 lead</w:t>
            </w:r>
          </w:p>
        </w:tc>
        <w:tc>
          <w:tcPr>
            <w:tcW w:type="dxa" w:w="8496"/>
            <w:vAlign w:val="top"/>
            <w:tcBorders>
              <w:top w:val="single" w:sz="4" w:color="D8D2DE"/>
              <w:left w:val="single" w:sz="4" w:color="D8D2DE"/>
              <w:bottom w:val="single" w:sz="4" w:color="D8D2DE"/>
              <w:right w:val="single" w:sz="4" w:color="D8D2DE"/>
            </w:tcBorders>
          </w:tcPr>
          <w:p>
            <w:r>
              <w:rPr>
                <w:rFonts w:ascii="Aptos" w:hAnsi="Aptos"/>
                <w:sz w:val="17"/>
              </w:rPr>
              <w:t>Runs the setup workflow, coordinates control mapping, monitors readiness, manages evidence cadence and prepares the organisation for the service auditor.</w:t>
            </w:r>
          </w:p>
        </w:tc>
      </w:tr>
      <w:tr>
        <w:tc>
          <w:tcPr>
            <w:tcW w:type="dxa" w:w="2304"/>
            <w:vAlign w:val="top"/>
            <w:tcBorders>
              <w:top w:val="single" w:sz="4" w:color="D8D2DE"/>
              <w:left w:val="single" w:sz="4" w:color="D8D2DE"/>
              <w:bottom w:val="single" w:sz="4" w:color="D8D2DE"/>
              <w:right w:val="single" w:sz="4" w:color="D8D2DE"/>
            </w:tcBorders>
          </w:tcPr>
          <w:p>
            <w:r>
              <w:rPr>
                <w:rFonts w:ascii="Aptos" w:hAnsi="Aptos"/>
                <w:sz w:val="17"/>
              </w:rPr>
              <w:t>Control owner</w:t>
            </w:r>
          </w:p>
        </w:tc>
        <w:tc>
          <w:tcPr>
            <w:tcW w:type="dxa" w:w="8496"/>
            <w:vAlign w:val="top"/>
            <w:tcBorders>
              <w:top w:val="single" w:sz="4" w:color="D8D2DE"/>
              <w:left w:val="single" w:sz="4" w:color="D8D2DE"/>
              <w:bottom w:val="single" w:sz="4" w:color="D8D2DE"/>
              <w:right w:val="single" w:sz="4" w:color="D8D2DE"/>
            </w:tcBorders>
          </w:tcPr>
          <w:p>
            <w:r>
              <w:rPr>
                <w:rFonts w:ascii="Aptos" w:hAnsi="Aptos"/>
                <w:sz w:val="17"/>
              </w:rPr>
              <w:t>Accountable for the control objective and ongoing operation; reviews implementation, evidence, test failures, issues and exceptions.</w:t>
            </w:r>
          </w:p>
        </w:tc>
      </w:tr>
      <w:tr>
        <w:tc>
          <w:tcPr>
            <w:tcW w:type="dxa" w:w="2304"/>
            <w:vAlign w:val="top"/>
            <w:tcBorders>
              <w:top w:val="single" w:sz="4" w:color="D8D2DE"/>
              <w:left w:val="single" w:sz="4" w:color="D8D2DE"/>
              <w:bottom w:val="single" w:sz="4" w:color="D8D2DE"/>
              <w:right w:val="single" w:sz="4" w:color="D8D2DE"/>
            </w:tcBorders>
          </w:tcPr>
          <w:p>
            <w:r>
              <w:rPr>
                <w:rFonts w:ascii="Aptos" w:hAnsi="Aptos"/>
                <w:sz w:val="17"/>
              </w:rPr>
              <w:t>Implementation owner</w:t>
            </w:r>
          </w:p>
        </w:tc>
        <w:tc>
          <w:tcPr>
            <w:tcW w:type="dxa" w:w="8496"/>
            <w:vAlign w:val="top"/>
            <w:tcBorders>
              <w:top w:val="single" w:sz="4" w:color="D8D2DE"/>
              <w:left w:val="single" w:sz="4" w:color="D8D2DE"/>
              <w:bottom w:val="single" w:sz="4" w:color="D8D2DE"/>
              <w:right w:val="single" w:sz="4" w:color="D8D2DE"/>
            </w:tcBorders>
          </w:tcPr>
          <w:p>
            <w:r>
              <w:rPr>
                <w:rFonts w:ascii="Aptos" w:hAnsi="Aptos"/>
                <w:sz w:val="17"/>
              </w:rPr>
              <w:t>Maintains the operational procedure/technology that implements the control and updates the implementation statement when the control changes.</w:t>
            </w:r>
          </w:p>
        </w:tc>
      </w:tr>
      <w:tr>
        <w:tc>
          <w:tcPr>
            <w:tcW w:type="dxa" w:w="2304"/>
            <w:vAlign w:val="top"/>
            <w:tcBorders>
              <w:top w:val="single" w:sz="4" w:color="D8D2DE"/>
              <w:left w:val="single" w:sz="4" w:color="D8D2DE"/>
              <w:bottom w:val="single" w:sz="4" w:color="D8D2DE"/>
              <w:right w:val="single" w:sz="4" w:color="D8D2DE"/>
            </w:tcBorders>
          </w:tcPr>
          <w:p>
            <w:r>
              <w:rPr>
                <w:rFonts w:ascii="Aptos" w:hAnsi="Aptos"/>
                <w:sz w:val="17"/>
              </w:rPr>
              <w:t>Assessor / reviewer</w:t>
            </w:r>
          </w:p>
        </w:tc>
        <w:tc>
          <w:tcPr>
            <w:tcW w:type="dxa" w:w="8496"/>
            <w:vAlign w:val="top"/>
            <w:tcBorders>
              <w:top w:val="single" w:sz="4" w:color="D8D2DE"/>
              <w:left w:val="single" w:sz="4" w:color="D8D2DE"/>
              <w:bottom w:val="single" w:sz="4" w:color="D8D2DE"/>
              <w:right w:val="single" w:sz="4" w:color="D8D2DE"/>
            </w:tcBorders>
          </w:tcPr>
          <w:p>
            <w:r>
              <w:rPr>
                <w:rFonts w:ascii="Aptos" w:hAnsi="Aptos"/>
                <w:sz w:val="17"/>
              </w:rPr>
              <w:t>Performs design and operating assessments, records results, coverage/confidence and assessment notes, and contributes to readiness decisions.</w:t>
            </w:r>
          </w:p>
        </w:tc>
      </w:tr>
      <w:tr>
        <w:tc>
          <w:tcPr>
            <w:tcW w:type="dxa" w:w="2304"/>
            <w:vAlign w:val="top"/>
            <w:tcBorders>
              <w:top w:val="single" w:sz="4" w:color="D8D2DE"/>
              <w:left w:val="single" w:sz="4" w:color="D8D2DE"/>
              <w:bottom w:val="single" w:sz="4" w:color="D8D2DE"/>
              <w:right w:val="single" w:sz="4" w:color="D8D2DE"/>
            </w:tcBorders>
          </w:tcPr>
          <w:p>
            <w:r>
              <w:rPr>
                <w:rFonts w:ascii="Aptos" w:hAnsi="Aptos"/>
                <w:sz w:val="17"/>
              </w:rPr>
              <w:t>Evidence owner / system administrator</w:t>
            </w:r>
          </w:p>
        </w:tc>
        <w:tc>
          <w:tcPr>
            <w:tcW w:type="dxa" w:w="8496"/>
            <w:vAlign w:val="top"/>
            <w:tcBorders>
              <w:top w:val="single" w:sz="4" w:color="D8D2DE"/>
              <w:left w:val="single" w:sz="4" w:color="D8D2DE"/>
              <w:bottom w:val="single" w:sz="4" w:color="D8D2DE"/>
              <w:right w:val="single" w:sz="4" w:color="D8D2DE"/>
            </w:tcBorders>
          </w:tcPr>
          <w:p>
            <w:r>
              <w:rPr>
                <w:rFonts w:ascii="Aptos" w:hAnsi="Aptos"/>
                <w:sz w:val="17"/>
              </w:rPr>
              <w:t>Collects or links evidence with accurate source timestamps, validity dates, source systems and storage references.</w:t>
            </w:r>
          </w:p>
        </w:tc>
      </w:tr>
      <w:tr>
        <w:tc>
          <w:tcPr>
            <w:tcW w:type="dxa" w:w="2304"/>
            <w:vAlign w:val="top"/>
            <w:tcBorders>
              <w:top w:val="single" w:sz="4" w:color="D8D2DE"/>
              <w:left w:val="single" w:sz="4" w:color="D8D2DE"/>
              <w:bottom w:val="single" w:sz="4" w:color="D8D2DE"/>
              <w:right w:val="single" w:sz="4" w:color="D8D2DE"/>
            </w:tcBorders>
          </w:tcPr>
          <w:p>
            <w:r>
              <w:rPr>
                <w:rFonts w:ascii="Aptos" w:hAnsi="Aptos"/>
                <w:sz w:val="17"/>
              </w:rPr>
              <w:t>Test owner</w:t>
            </w:r>
          </w:p>
        </w:tc>
        <w:tc>
          <w:tcPr>
            <w:tcW w:type="dxa" w:w="8496"/>
            <w:vAlign w:val="top"/>
            <w:tcBorders>
              <w:top w:val="single" w:sz="4" w:color="D8D2DE"/>
              <w:left w:val="single" w:sz="4" w:color="D8D2DE"/>
              <w:bottom w:val="single" w:sz="4" w:color="D8D2DE"/>
              <w:right w:val="single" w:sz="4" w:color="D8D2DE"/>
            </w:tcBorders>
          </w:tcPr>
          <w:p>
            <w:r>
              <w:rPr>
                <w:rFonts w:ascii="Aptos" w:hAnsi="Aptos"/>
                <w:sz w:val="17"/>
              </w:rPr>
              <w:t>Maintains the test definition and records actual test runs with the real execution/completion timestamp.</w:t>
            </w:r>
          </w:p>
        </w:tc>
      </w:tr>
      <w:tr>
        <w:tc>
          <w:tcPr>
            <w:tcW w:type="dxa" w:w="2304"/>
            <w:vAlign w:val="top"/>
            <w:tcBorders>
              <w:top w:val="single" w:sz="4" w:color="D8D2DE"/>
              <w:left w:val="single" w:sz="4" w:color="D8D2DE"/>
              <w:bottom w:val="single" w:sz="4" w:color="D8D2DE"/>
              <w:right w:val="single" w:sz="4" w:color="D8D2DE"/>
            </w:tcBorders>
          </w:tcPr>
          <w:p>
            <w:r>
              <w:rPr>
                <w:rFonts w:ascii="Aptos" w:hAnsi="Aptos"/>
                <w:sz w:val="17"/>
              </w:rPr>
              <w:t>Risk owner</w:t>
            </w:r>
          </w:p>
        </w:tc>
        <w:tc>
          <w:tcPr>
            <w:tcW w:type="dxa" w:w="8496"/>
            <w:vAlign w:val="top"/>
            <w:tcBorders>
              <w:top w:val="single" w:sz="4" w:color="D8D2DE"/>
              <w:left w:val="single" w:sz="4" w:color="D8D2DE"/>
              <w:bottom w:val="single" w:sz="4" w:color="D8D2DE"/>
              <w:right w:val="single" w:sz="4" w:color="D8D2DE"/>
            </w:tcBorders>
          </w:tcPr>
          <w:p>
            <w:r>
              <w:rPr>
                <w:rFonts w:ascii="Aptos" w:hAnsi="Aptos"/>
                <w:sz w:val="17"/>
              </w:rPr>
              <w:t>Owns related risks and may be selected from Risk Management when an exception or issue is tied to an existing risk.</w:t>
            </w:r>
          </w:p>
        </w:tc>
      </w:tr>
      <w:tr>
        <w:tc>
          <w:tcPr>
            <w:tcW w:type="dxa" w:w="2304"/>
            <w:vAlign w:val="top"/>
            <w:tcBorders>
              <w:top w:val="single" w:sz="4" w:color="D8D2DE"/>
              <w:left w:val="single" w:sz="4" w:color="D8D2DE"/>
              <w:bottom w:val="single" w:sz="4" w:color="D8D2DE"/>
              <w:right w:val="single" w:sz="4" w:color="D8D2DE"/>
            </w:tcBorders>
          </w:tcPr>
          <w:p>
            <w:r>
              <w:rPr>
                <w:rFonts w:ascii="Aptos" w:hAnsi="Aptos"/>
                <w:sz w:val="17"/>
              </w:rPr>
              <w:t>CPA/service auditor</w:t>
            </w:r>
          </w:p>
        </w:tc>
        <w:tc>
          <w:tcPr>
            <w:tcW w:type="dxa" w:w="8496"/>
            <w:vAlign w:val="top"/>
            <w:tcBorders>
              <w:top w:val="single" w:sz="4" w:color="D8D2DE"/>
              <w:left w:val="single" w:sz="4" w:color="D8D2DE"/>
              <w:bottom w:val="single" w:sz="4" w:color="D8D2DE"/>
              <w:right w:val="single" w:sz="4" w:color="D8D2DE"/>
            </w:tcBorders>
          </w:tcPr>
          <w:p>
            <w:r>
              <w:rPr>
                <w:rFonts w:ascii="Aptos" w:hAnsi="Aptos"/>
                <w:sz w:val="17"/>
              </w:rPr>
              <w:t>Independent external party responsible for the SOC 2 examination and report; may request additional evidence, sampling and clarifications outside the PurpleWASP readiness model.</w:t>
            </w:r>
          </w:p>
        </w:tc>
      </w:tr>
    </w:tbl>
    <w:p>
      <w:pPr>
        <w:spacing w:after="20"/>
      </w:pPr>
    </w:p>
    <w:p>
      <w:r>
        <w:br w:type="page"/>
      </w:r>
    </w:p>
    <w:p>
      <w:pPr>
        <w:pStyle w:val="Heading1"/>
      </w:pPr>
      <w:r>
        <w:rPr>
          <w:rFonts w:ascii="Aptos" w:hAnsi="Aptos"/>
          <w:b/>
          <w:color w:val="4B0983"/>
          <w:sz w:val="38"/>
        </w:rPr>
        <w:t>4. What to prepare before you start</w:t>
      </w:r>
    </w:p>
    <w:p>
      <w:pPr>
        <w:pStyle w:val="Heading2"/>
      </w:pPr>
      <w:r>
        <w:rPr>
          <w:rFonts w:ascii="Aptos" w:hAnsi="Aptos"/>
          <w:b/>
          <w:color w:val="24152E"/>
          <w:sz w:val="28"/>
        </w:rPr>
        <w:t>4.1 Minimum organisational data</w:t>
      </w:r>
    </w:p>
    <w:p>
      <w:pPr>
        <w:pStyle w:val="ListBullet"/>
        <w:spacing w:after="40"/>
      </w:pPr>
      <w:r>
        <w:rPr>
          <w:rFonts w:ascii="Aptos" w:hAnsi="Aptos"/>
        </w:rPr>
        <w:t>Current list of business processes that contribute to the service.</w:t>
      </w:r>
    </w:p>
    <w:p>
      <w:pPr>
        <w:pStyle w:val="ListBullet"/>
        <w:spacing w:after="40"/>
      </w:pPr>
      <w:r>
        <w:rPr>
          <w:rFonts w:ascii="Aptos" w:hAnsi="Aptos"/>
        </w:rPr>
        <w:t>Asset inventory for the service: cloud subscriptions, production environments, applications, databases, endpoints, infrastructure and other in-scope technology.</w:t>
      </w:r>
    </w:p>
    <w:p>
      <w:pPr>
        <w:pStyle w:val="ListBullet"/>
        <w:spacing w:after="40"/>
      </w:pPr>
      <w:r>
        <w:rPr>
          <w:rFonts w:ascii="Aptos" w:hAnsi="Aptos"/>
        </w:rPr>
        <w:t>Third-party/vendor records and the specific services they provide.</w:t>
      </w:r>
    </w:p>
    <w:p>
      <w:pPr>
        <w:pStyle w:val="ListBullet"/>
        <w:spacing w:after="40"/>
      </w:pPr>
      <w:r>
        <w:rPr>
          <w:rFonts w:ascii="Aptos" w:hAnsi="Aptos"/>
        </w:rPr>
        <w:t>Current user/principal catalogue so management and control owners can be assigned.</w:t>
      </w:r>
    </w:p>
    <w:p>
      <w:pPr>
        <w:pStyle w:val="ListBullet"/>
        <w:spacing w:after="40"/>
      </w:pPr>
      <w:r>
        <w:rPr>
          <w:rFonts w:ascii="Aptos" w:hAnsi="Aptos"/>
        </w:rPr>
        <w:t>Control Management library with organisation controls where possible.</w:t>
      </w:r>
    </w:p>
    <w:p>
      <w:pPr>
        <w:pStyle w:val="ListBullet"/>
        <w:spacing w:after="40"/>
      </w:pPr>
      <w:r>
        <w:rPr>
          <w:rFonts w:ascii="Aptos" w:hAnsi="Aptos"/>
        </w:rPr>
        <w:t>Risk register entries for material security/service risks.</w:t>
      </w:r>
    </w:p>
    <w:p>
      <w:pPr>
        <w:pStyle w:val="ListBullet"/>
        <w:spacing w:after="40"/>
      </w:pPr>
      <w:r>
        <w:rPr>
          <w:rFonts w:ascii="Aptos" w:hAnsi="Aptos"/>
        </w:rPr>
        <w:t>Policy and procedure records relevant to the service.</w:t>
      </w:r>
    </w:p>
    <w:p>
      <w:pPr>
        <w:pStyle w:val="ListBullet"/>
        <w:spacing w:after="40"/>
      </w:pPr>
      <w:r>
        <w:rPr>
          <w:rFonts w:ascii="Aptos" w:hAnsi="Aptos"/>
        </w:rPr>
        <w:t>An initial view of which customers, customer auditors, regulators, partners or governance bodies are intended users of the report.</w:t>
      </w:r>
    </w:p>
    <w:p>
      <w:pPr>
        <w:pStyle w:val="Heading2"/>
      </w:pPr>
      <w:r>
        <w:rPr>
          <w:rFonts w:ascii="Aptos" w:hAnsi="Aptos"/>
          <w:b/>
          <w:color w:val="24152E"/>
          <w:sz w:val="28"/>
        </w:rPr>
        <w:t>4.2 Decisions to discuss before setup</w:t>
      </w:r>
    </w:p>
    <w:tbl>
      <w:tblPr>
        <w:tblStyle w:val="TableGrid"/>
        <w:tblW w:type="auto" w:w="0"/>
        <w:jc w:val="center"/>
        <w:tblLook w:firstColumn="1" w:firstRow="1" w:lastColumn="0" w:lastRow="0" w:noHBand="0" w:noVBand="1" w:val="04A0"/>
      </w:tblPr>
      <w:tblGrid>
        <w:gridCol w:w="4997"/>
        <w:gridCol w:w="4997"/>
      </w:tblGrid>
      <w:tr>
        <w:tc>
          <w:tcPr>
            <w:tcW w:type="dxa" w:w="2232"/>
            <w:shd w:fill="4B0983"/>
            <w:vAlign w:val="center"/>
          </w:tcPr>
          <w:p>
            <w:pPr>
              <w:jc w:val="left"/>
            </w:pPr>
            <w:r>
              <w:rPr>
                <w:rFonts w:ascii="Aptos" w:hAnsi="Aptos"/>
                <w:b/>
                <w:color w:val="FFFFFF"/>
                <w:sz w:val="17"/>
              </w:rPr>
              <w:t>Decision</w:t>
            </w:r>
          </w:p>
        </w:tc>
        <w:tc>
          <w:tcPr>
            <w:tcW w:type="dxa" w:w="8568"/>
            <w:shd w:fill="4B0983"/>
            <w:vAlign w:val="center"/>
          </w:tcPr>
          <w:p>
            <w:pPr>
              <w:jc w:val="left"/>
            </w:pPr>
            <w:r>
              <w:rPr>
                <w:rFonts w:ascii="Aptos" w:hAnsi="Aptos"/>
                <w:b/>
                <w:color w:val="FFFFFF"/>
                <w:sz w:val="17"/>
              </w:rPr>
              <w:t>Questions to answer</w:t>
            </w:r>
          </w:p>
        </w:tc>
      </w:tr>
      <w:tr>
        <w:tc>
          <w:tcPr>
            <w:tcW w:type="dxa" w:w="2232"/>
            <w:vAlign w:val="top"/>
            <w:tcBorders>
              <w:top w:val="single" w:sz="4" w:color="D8D2DE"/>
              <w:left w:val="single" w:sz="4" w:color="D8D2DE"/>
              <w:bottom w:val="single" w:sz="4" w:color="D8D2DE"/>
              <w:right w:val="single" w:sz="4" w:color="D8D2DE"/>
            </w:tcBorders>
          </w:tcPr>
          <w:p>
            <w:r>
              <w:rPr>
                <w:rFonts w:ascii="Aptos" w:hAnsi="Aptos"/>
                <w:sz w:val="17"/>
              </w:rPr>
              <w:t>Service boundary</w:t>
            </w:r>
          </w:p>
        </w:tc>
        <w:tc>
          <w:tcPr>
            <w:tcW w:type="dxa" w:w="8568"/>
            <w:vAlign w:val="top"/>
            <w:tcBorders>
              <w:top w:val="single" w:sz="4" w:color="D8D2DE"/>
              <w:left w:val="single" w:sz="4" w:color="D8D2DE"/>
              <w:bottom w:val="single" w:sz="4" w:color="D8D2DE"/>
              <w:right w:val="single" w:sz="4" w:color="D8D2DE"/>
            </w:tcBorders>
          </w:tcPr>
          <w:p>
            <w:r>
              <w:rPr>
                <w:rFonts w:ascii="Aptos" w:hAnsi="Aptos"/>
                <w:sz w:val="17"/>
              </w:rPr>
              <w:t>Which product/service will the report cover? Is this one service, a platform, a region, or a broader system?</w:t>
            </w:r>
          </w:p>
        </w:tc>
      </w:tr>
      <w:tr>
        <w:tc>
          <w:tcPr>
            <w:tcW w:type="dxa" w:w="2232"/>
            <w:vAlign w:val="top"/>
            <w:tcBorders>
              <w:top w:val="single" w:sz="4" w:color="D8D2DE"/>
              <w:left w:val="single" w:sz="4" w:color="D8D2DE"/>
              <w:bottom w:val="single" w:sz="4" w:color="D8D2DE"/>
              <w:right w:val="single" w:sz="4" w:color="D8D2DE"/>
            </w:tcBorders>
          </w:tcPr>
          <w:p>
            <w:r>
              <w:rPr>
                <w:rFonts w:ascii="Aptos" w:hAnsi="Aptos"/>
                <w:sz w:val="17"/>
              </w:rPr>
              <w:t>Trust Services scope</w:t>
            </w:r>
          </w:p>
        </w:tc>
        <w:tc>
          <w:tcPr>
            <w:tcW w:type="dxa" w:w="8568"/>
            <w:vAlign w:val="top"/>
            <w:tcBorders>
              <w:top w:val="single" w:sz="4" w:color="D8D2DE"/>
              <w:left w:val="single" w:sz="4" w:color="D8D2DE"/>
              <w:bottom w:val="single" w:sz="4" w:color="D8D2DE"/>
              <w:right w:val="single" w:sz="4" w:color="D8D2DE"/>
            </w:tcBorders>
          </w:tcPr>
          <w:p>
            <w:r>
              <w:rPr>
                <w:rFonts w:ascii="Aptos" w:hAnsi="Aptos"/>
                <w:sz w:val="17"/>
              </w:rPr>
              <w:t>Beyond Security, do contracts or customer promises require Availability, Processing Integrity, Confidentiality or Privacy?</w:t>
            </w:r>
          </w:p>
        </w:tc>
      </w:tr>
      <w:tr>
        <w:tc>
          <w:tcPr>
            <w:tcW w:type="dxa" w:w="2232"/>
            <w:vAlign w:val="top"/>
            <w:tcBorders>
              <w:top w:val="single" w:sz="4" w:color="D8D2DE"/>
              <w:left w:val="single" w:sz="4" w:color="D8D2DE"/>
              <w:bottom w:val="single" w:sz="4" w:color="D8D2DE"/>
              <w:right w:val="single" w:sz="4" w:color="D8D2DE"/>
            </w:tcBorders>
          </w:tcPr>
          <w:p>
            <w:r>
              <w:rPr>
                <w:rFonts w:ascii="Aptos" w:hAnsi="Aptos"/>
                <w:sz w:val="17"/>
              </w:rPr>
              <w:t>Type I or Type II</w:t>
            </w:r>
          </w:p>
        </w:tc>
        <w:tc>
          <w:tcPr>
            <w:tcW w:type="dxa" w:w="8568"/>
            <w:vAlign w:val="top"/>
            <w:tcBorders>
              <w:top w:val="single" w:sz="4" w:color="D8D2DE"/>
              <w:left w:val="single" w:sz="4" w:color="D8D2DE"/>
              <w:bottom w:val="single" w:sz="4" w:color="D8D2DE"/>
              <w:right w:val="single" w:sz="4" w:color="D8D2DE"/>
            </w:tcBorders>
          </w:tcPr>
          <w:p>
            <w:r>
              <w:rPr>
                <w:rFonts w:ascii="Aptos" w:hAnsi="Aptos"/>
                <w:sz w:val="17"/>
              </w:rPr>
              <w:t>Do stakeholders need a point-in-time design report or evidence of operating effectiveness across a period?</w:t>
            </w:r>
          </w:p>
        </w:tc>
      </w:tr>
      <w:tr>
        <w:tc>
          <w:tcPr>
            <w:tcW w:type="dxa" w:w="2232"/>
            <w:vAlign w:val="top"/>
            <w:tcBorders>
              <w:top w:val="single" w:sz="4" w:color="D8D2DE"/>
              <w:left w:val="single" w:sz="4" w:color="D8D2DE"/>
              <w:bottom w:val="single" w:sz="4" w:color="D8D2DE"/>
              <w:right w:val="single" w:sz="4" w:color="D8D2DE"/>
            </w:tcBorders>
          </w:tcPr>
          <w:p>
            <w:r>
              <w:rPr>
                <w:rFonts w:ascii="Aptos" w:hAnsi="Aptos"/>
                <w:sz w:val="17"/>
              </w:rPr>
              <w:t>Observation period</w:t>
            </w:r>
          </w:p>
        </w:tc>
        <w:tc>
          <w:tcPr>
            <w:tcW w:type="dxa" w:w="8568"/>
            <w:vAlign w:val="top"/>
            <w:tcBorders>
              <w:top w:val="single" w:sz="4" w:color="D8D2DE"/>
              <w:left w:val="single" w:sz="4" w:color="D8D2DE"/>
              <w:bottom w:val="single" w:sz="4" w:color="D8D2DE"/>
              <w:right w:val="single" w:sz="4" w:color="D8D2DE"/>
            </w:tcBorders>
          </w:tcPr>
          <w:p>
            <w:r>
              <w:rPr>
                <w:rFonts w:ascii="Aptos" w:hAnsi="Aptos"/>
                <w:sz w:val="17"/>
              </w:rPr>
              <w:t>If Type II, what period is realistic given current operating history and evidence availability?</w:t>
            </w:r>
          </w:p>
        </w:tc>
      </w:tr>
      <w:tr>
        <w:tc>
          <w:tcPr>
            <w:tcW w:type="dxa" w:w="2232"/>
            <w:vAlign w:val="top"/>
            <w:tcBorders>
              <w:top w:val="single" w:sz="4" w:color="D8D2DE"/>
              <w:left w:val="single" w:sz="4" w:color="D8D2DE"/>
              <w:bottom w:val="single" w:sz="4" w:color="D8D2DE"/>
              <w:right w:val="single" w:sz="4" w:color="D8D2DE"/>
            </w:tcBorders>
          </w:tcPr>
          <w:p>
            <w:r>
              <w:rPr>
                <w:rFonts w:ascii="Aptos" w:hAnsi="Aptos"/>
                <w:sz w:val="17"/>
              </w:rPr>
              <w:t>Subservice organisations</w:t>
            </w:r>
          </w:p>
        </w:tc>
        <w:tc>
          <w:tcPr>
            <w:tcW w:type="dxa" w:w="8568"/>
            <w:vAlign w:val="top"/>
            <w:tcBorders>
              <w:top w:val="single" w:sz="4" w:color="D8D2DE"/>
              <w:left w:val="single" w:sz="4" w:color="D8D2DE"/>
              <w:bottom w:val="single" w:sz="4" w:color="D8D2DE"/>
              <w:right w:val="single" w:sz="4" w:color="D8D2DE"/>
            </w:tcBorders>
          </w:tcPr>
          <w:p>
            <w:r>
              <w:rPr>
                <w:rFonts w:ascii="Aptos" w:hAnsi="Aptos"/>
                <w:sz w:val="17"/>
              </w:rPr>
              <w:t>Which third parties are relevant to the system and should be discussed with the service auditor as carve-out/inclusive candidates?</w:t>
            </w:r>
          </w:p>
        </w:tc>
      </w:tr>
      <w:tr>
        <w:tc>
          <w:tcPr>
            <w:tcW w:type="dxa" w:w="2232"/>
            <w:vAlign w:val="top"/>
            <w:tcBorders>
              <w:top w:val="single" w:sz="4" w:color="D8D2DE"/>
              <w:left w:val="single" w:sz="4" w:color="D8D2DE"/>
              <w:bottom w:val="single" w:sz="4" w:color="D8D2DE"/>
              <w:right w:val="single" w:sz="4" w:color="D8D2DE"/>
            </w:tcBorders>
          </w:tcPr>
          <w:p>
            <w:r>
              <w:rPr>
                <w:rFonts w:ascii="Aptos" w:hAnsi="Aptos"/>
                <w:sz w:val="17"/>
              </w:rPr>
              <w:t>CUECs</w:t>
            </w:r>
          </w:p>
        </w:tc>
        <w:tc>
          <w:tcPr>
            <w:tcW w:type="dxa" w:w="8568"/>
            <w:vAlign w:val="top"/>
            <w:tcBorders>
              <w:top w:val="single" w:sz="4" w:color="D8D2DE"/>
              <w:left w:val="single" w:sz="4" w:color="D8D2DE"/>
              <w:bottom w:val="single" w:sz="4" w:color="D8D2DE"/>
              <w:right w:val="single" w:sz="4" w:color="D8D2DE"/>
            </w:tcBorders>
          </w:tcPr>
          <w:p>
            <w:r>
              <w:rPr>
                <w:rFonts w:ascii="Aptos" w:hAnsi="Aptos"/>
                <w:sz w:val="17"/>
              </w:rPr>
              <w:t>What responsibilities must customers perform for the service to remain secure/reliable as designed?</w:t>
            </w:r>
          </w:p>
        </w:tc>
      </w:tr>
      <w:tr>
        <w:tc>
          <w:tcPr>
            <w:tcW w:type="dxa" w:w="2232"/>
            <w:vAlign w:val="top"/>
            <w:tcBorders>
              <w:top w:val="single" w:sz="4" w:color="D8D2DE"/>
              <w:left w:val="single" w:sz="4" w:color="D8D2DE"/>
              <w:bottom w:val="single" w:sz="4" w:color="D8D2DE"/>
              <w:right w:val="single" w:sz="4" w:color="D8D2DE"/>
            </w:tcBorders>
          </w:tcPr>
          <w:p>
            <w:r>
              <w:rPr>
                <w:rFonts w:ascii="Aptos" w:hAnsi="Aptos"/>
                <w:sz w:val="17"/>
              </w:rPr>
              <w:t>Target examination timing</w:t>
            </w:r>
          </w:p>
        </w:tc>
        <w:tc>
          <w:tcPr>
            <w:tcW w:type="dxa" w:w="8568"/>
            <w:vAlign w:val="top"/>
            <w:tcBorders>
              <w:top w:val="single" w:sz="4" w:color="D8D2DE"/>
              <w:left w:val="single" w:sz="4" w:color="D8D2DE"/>
              <w:bottom w:val="single" w:sz="4" w:color="D8D2DE"/>
              <w:right w:val="single" w:sz="4" w:color="D8D2DE"/>
            </w:tcBorders>
          </w:tcPr>
          <w:p>
            <w:r>
              <w:rPr>
                <w:rFonts w:ascii="Aptos" w:hAnsi="Aptos"/>
                <w:sz w:val="17"/>
              </w:rPr>
              <w:t>When do customers need the report, and when should fieldwork begin?</w:t>
            </w:r>
          </w:p>
        </w:tc>
      </w:tr>
    </w:tbl>
    <w:p>
      <w:pPr>
        <w:spacing w:after="20"/>
      </w:pPr>
    </w:p>
    <w:p>
      <w:pPr>
        <w:pStyle w:val="Heading2"/>
      </w:pPr>
      <w:r>
        <w:rPr>
          <w:rFonts w:ascii="Aptos" w:hAnsi="Aptos"/>
          <w:b/>
          <w:color w:val="24152E"/>
          <w:sz w:val="28"/>
        </w:rPr>
        <w:t>4.3 Readiness of your Control Management data</w:t>
      </w:r>
    </w:p>
    <w:p>
      <w:pPr>
        <w:spacing w:after="100"/>
      </w:pPr>
      <w:r>
        <w:rPr>
          <w:rFonts w:ascii="Aptos" w:hAnsi="Aptos"/>
        </w:rPr>
        <w:t>PurpleWASP SOC 2 intentionally reuses the organisation control model. Candidate mappings do not automatically become SOC 2 coverage. Controls normally need to be adopted into Control Management before they can be selected as organisation coverage. This separation is important: a candidate mapping is a suggestion; a selected organisation control is management’s actual coverage decision.</w:t>
      </w:r>
    </w:p>
    <w:tbl>
      <w:tblPr>
        <w:tblW w:type="auto" w:w="0"/>
        <w:jc w:val="center"/>
        <w:tblLayout w:type="autofit"/>
        <w:tblLook w:firstColumn="1" w:firstRow="1" w:lastColumn="0" w:lastRow="0" w:noHBand="0" w:noVBand="1" w:val="04A0"/>
      </w:tblPr>
      <w:tblGrid>
        <w:gridCol w:w="9994"/>
      </w:tblGrid>
      <w:tr>
        <w:tc>
          <w:tcPr>
            <w:tcW w:type="dxa" w:w="9994"/>
            <w:shd w:fill="FFF1F0"/>
            <w:tcBorders>
              <w:top w:val="nil"/>
              <w:left w:val="single" w:sz="18" w:color="B42318"/>
              <w:bottom w:val="nil"/>
              <w:right w:val="nil"/>
            </w:tcBorders>
          </w:tcPr>
          <w:p>
            <w:pPr>
              <w:spacing w:after="60"/>
            </w:pPr>
            <w:r>
              <w:rPr>
                <w:rFonts w:ascii="Aptos" w:hAnsi="Aptos"/>
                <w:b/>
                <w:color w:val="B42318"/>
                <w:sz w:val="21"/>
              </w:rPr>
              <w:t>Do not seed readiness state directly in the database.</w:t>
            </w:r>
          </w:p>
          <w:p>
            <w:pPr>
              <w:spacing w:after="0"/>
            </w:pPr>
            <w:r>
              <w:rPr>
                <w:rFonts w:ascii="Aptos" w:hAnsi="Aptos"/>
                <w:sz w:val="19"/>
              </w:rPr>
              <w:t>Use PurpleWASP application workflows for adoption, coverage, assessments, evidence, testing, issues, exceptions and decisions. Direct database edits bypass validation, audit history and supersession logic.</w:t>
            </w:r>
          </w:p>
        </w:tc>
      </w:tr>
    </w:tbl>
    <w:p>
      <w:pPr>
        <w:spacing w:after="20"/>
      </w:pPr>
    </w:p>
    <w:p>
      <w:r>
        <w:br w:type="page"/>
      </w:r>
    </w:p>
    <w:p>
      <w:pPr>
        <w:pStyle w:val="Heading1"/>
      </w:pPr>
      <w:r>
        <w:rPr>
          <w:rFonts w:ascii="Aptos" w:hAnsi="Aptos"/>
          <w:b/>
          <w:color w:val="4B0983"/>
          <w:sz w:val="38"/>
        </w:rPr>
        <w:t>5. Accessing the SOC 2 workspace</w:t>
      </w:r>
    </w:p>
    <w:p>
      <w:pPr>
        <w:spacing w:after="80"/>
        <w:ind w:left="259" w:hanging="259"/>
      </w:pPr>
      <w:r>
        <w:rPr>
          <w:rFonts w:ascii="Aptos" w:hAnsi="Aptos"/>
          <w:b/>
          <w:color w:val="4B0983"/>
        </w:rPr>
        <w:t xml:space="preserve">1. </w:t>
      </w:r>
      <w:r>
        <w:rPr>
          <w:rFonts w:ascii="Aptos" w:hAnsi="Aptos"/>
          <w:b/>
        </w:rPr>
        <w:t xml:space="preserve">Open Compliance. </w:t>
      </w:r>
      <w:r>
        <w:rPr>
          <w:rFonts w:ascii="Aptos" w:hAnsi="Aptos"/>
        </w:rPr>
        <w:t>Use the PurpleWASP main navigation and select the Compliance module.</w:t>
      </w:r>
    </w:p>
    <w:p>
      <w:pPr>
        <w:spacing w:after="80"/>
        <w:ind w:left="259" w:hanging="259"/>
      </w:pPr>
      <w:r>
        <w:rPr>
          <w:rFonts w:ascii="Aptos" w:hAnsi="Aptos"/>
          <w:b/>
          <w:color w:val="4B0983"/>
        </w:rPr>
        <w:t xml:space="preserve">2. </w:t>
      </w:r>
      <w:r>
        <w:rPr>
          <w:rFonts w:ascii="Aptos" w:hAnsi="Aptos"/>
          <w:b/>
        </w:rPr>
        <w:t xml:space="preserve">Choose the framework. </w:t>
      </w:r>
      <w:r>
        <w:rPr>
          <w:rFonts w:ascii="Aptos" w:hAnsi="Aptos"/>
        </w:rPr>
        <w:t>In the compliance framework picker, choose SOC 2. ISO 27001 remains a separate framework workspace.</w:t>
      </w:r>
    </w:p>
    <w:p>
      <w:pPr>
        <w:spacing w:after="80"/>
        <w:ind w:left="259" w:hanging="259"/>
      </w:pPr>
      <w:r>
        <w:rPr>
          <w:rFonts w:ascii="Aptos" w:hAnsi="Aptos"/>
          <w:b/>
          <w:color w:val="4B0983"/>
        </w:rPr>
        <w:t xml:space="preserve">3. </w:t>
      </w:r>
      <w:r>
        <w:rPr>
          <w:rFonts w:ascii="Aptos" w:hAnsi="Aptos"/>
          <w:b/>
        </w:rPr>
        <w:t xml:space="preserve">Confirm you are in the SOC 2 side menu. </w:t>
      </w:r>
      <w:r>
        <w:rPr>
          <w:rFonts w:ascii="Aptos" w:hAnsi="Aptos"/>
        </w:rPr>
        <w:t>The left-hand navigation should show SOC 2 Dashboard, Scope &amp; Criteria, Controls &amp; Testing, Remediation and Audit Readiness.</w:t>
      </w:r>
    </w:p>
    <w:p>
      <w:pPr>
        <w:spacing w:after="80"/>
        <w:ind w:left="259" w:hanging="259"/>
      </w:pPr>
      <w:r>
        <w:rPr>
          <w:rFonts w:ascii="Aptos" w:hAnsi="Aptos"/>
          <w:b/>
          <w:color w:val="4B0983"/>
        </w:rPr>
        <w:t xml:space="preserve">4. </w:t>
      </w:r>
      <w:r>
        <w:rPr>
          <w:rFonts w:ascii="Aptos" w:hAnsi="Aptos"/>
          <w:b/>
        </w:rPr>
        <w:t xml:space="preserve">If no engagement is confirmed yet, start Scope Setup. </w:t>
      </w:r>
      <w:r>
        <w:rPr>
          <w:rFonts w:ascii="Aptos" w:hAnsi="Aptos"/>
        </w:rPr>
        <w:t>The dashboard will show a "No confirmed SOC 2 engagement yet" state with a setup action.</w:t>
      </w:r>
    </w:p>
    <w:p>
      <w:pPr>
        <w:jc w:val="center"/>
      </w:pPr>
      <w:r>
        <w:drawing>
          <wp:inline xmlns:a="http://schemas.openxmlformats.org/drawingml/2006/main" xmlns:pic="http://schemas.openxmlformats.org/drawingml/2006/picture">
            <wp:extent cx="6263640" cy="3805907"/>
            <wp:docPr id="1" name="Picture 1" descr="Figure 1. Illustrative framework picker. SOC 2 is selected as a separate compliance workspace."/>
            <wp:cNvGraphicFramePr>
              <a:graphicFrameLocks noChangeAspect="1"/>
            </wp:cNvGraphicFramePr>
            <a:graphic>
              <a:graphicData uri="http://schemas.openxmlformats.org/drawingml/2006/picture">
                <pic:pic>
                  <pic:nvPicPr>
                    <pic:cNvPr id="0" name="01_framework_picker.png"/>
                    <pic:cNvPicPr/>
                  </pic:nvPicPr>
                  <pic:blipFill>
                    <a:blip r:embed="rId11"/>
                    <a:stretch>
                      <a:fillRect/>
                    </a:stretch>
                  </pic:blipFill>
                  <pic:spPr>
                    <a:xfrm>
                      <a:off x="0" y="0"/>
                      <a:ext cx="6263640" cy="3805907"/>
                    </a:xfrm>
                    <a:prstGeom prst="rect"/>
                  </pic:spPr>
                </pic:pic>
              </a:graphicData>
            </a:graphic>
          </wp:inline>
        </w:drawing>
      </w:r>
    </w:p>
    <w:p>
      <w:pPr>
        <w:spacing w:after="160"/>
        <w:jc w:val="center"/>
      </w:pPr>
      <w:r>
        <w:rPr>
          <w:rFonts w:ascii="Aptos" w:hAnsi="Aptos"/>
          <w:i/>
          <w:color w:val="6B6470"/>
          <w:sz w:val="17"/>
        </w:rPr>
        <w:t>Figure 1. Illustrative framework picker. SOC 2 is selected as a separate compliance workspace.</w:t>
      </w:r>
    </w:p>
    <w:p>
      <w:pPr>
        <w:pStyle w:val="Heading2"/>
      </w:pPr>
      <w:r>
        <w:rPr>
          <w:rFonts w:ascii="Aptos" w:hAnsi="Aptos"/>
          <w:b/>
          <w:color w:val="24152E"/>
          <w:sz w:val="28"/>
        </w:rPr>
        <w:t>SOC 2 navigation map</w:t>
      </w:r>
    </w:p>
    <w:tbl>
      <w:tblPr>
        <w:tblStyle w:val="TableGrid"/>
        <w:tblW w:type="auto" w:w="0"/>
        <w:jc w:val="center"/>
        <w:tblLook w:firstColumn="1" w:firstRow="1" w:lastColumn="0" w:lastRow="0" w:noHBand="0" w:noVBand="1" w:val="04A0"/>
      </w:tblPr>
      <w:tblGrid>
        <w:gridCol w:w="4997"/>
        <w:gridCol w:w="4997"/>
      </w:tblGrid>
      <w:tr>
        <w:tc>
          <w:tcPr>
            <w:tcW w:type="dxa" w:w="2592"/>
            <w:shd w:fill="4B0983"/>
            <w:vAlign w:val="center"/>
          </w:tcPr>
          <w:p>
            <w:pPr>
              <w:jc w:val="left"/>
            </w:pPr>
            <w:r>
              <w:rPr>
                <w:rFonts w:ascii="Aptos" w:hAnsi="Aptos"/>
                <w:b/>
                <w:color w:val="FFFFFF"/>
                <w:sz w:val="17"/>
              </w:rPr>
              <w:t>Menu group</w:t>
            </w:r>
          </w:p>
        </w:tc>
        <w:tc>
          <w:tcPr>
            <w:tcW w:type="dxa" w:w="8208"/>
            <w:shd w:fill="4B0983"/>
            <w:vAlign w:val="center"/>
          </w:tcPr>
          <w:p>
            <w:pPr>
              <w:jc w:val="left"/>
            </w:pPr>
            <w:r>
              <w:rPr>
                <w:rFonts w:ascii="Aptos" w:hAnsi="Aptos"/>
                <w:b/>
                <w:color w:val="FFFFFF"/>
                <w:sz w:val="17"/>
              </w:rPr>
              <w:t>Pages</w:t>
            </w:r>
          </w:p>
        </w:tc>
      </w:tr>
      <w:tr>
        <w:tc>
          <w:tcPr>
            <w:tcW w:type="dxa" w:w="2592"/>
            <w:vAlign w:val="top"/>
            <w:tcBorders>
              <w:top w:val="single" w:sz="4" w:color="D8D2DE"/>
              <w:left w:val="single" w:sz="4" w:color="D8D2DE"/>
              <w:bottom w:val="single" w:sz="4" w:color="D8D2DE"/>
              <w:right w:val="single" w:sz="4" w:color="D8D2DE"/>
            </w:tcBorders>
          </w:tcPr>
          <w:p>
            <w:r>
              <w:rPr>
                <w:rFonts w:ascii="Aptos" w:hAnsi="Aptos"/>
                <w:sz w:val="17"/>
              </w:rPr>
              <w:t>Dashboard</w:t>
            </w:r>
          </w:p>
        </w:tc>
        <w:tc>
          <w:tcPr>
            <w:tcW w:type="dxa" w:w="8208"/>
            <w:vAlign w:val="top"/>
            <w:tcBorders>
              <w:top w:val="single" w:sz="4" w:color="D8D2DE"/>
              <w:left w:val="single" w:sz="4" w:color="D8D2DE"/>
              <w:bottom w:val="single" w:sz="4" w:color="D8D2DE"/>
              <w:right w:val="single" w:sz="4" w:color="D8D2DE"/>
            </w:tcBorders>
          </w:tcPr>
          <w:p>
            <w:r>
              <w:rPr>
                <w:rFonts w:ascii="Aptos" w:hAnsi="Aptos"/>
                <w:sz w:val="17"/>
              </w:rPr>
              <w:t>SOC 2 Dashboard</w:t>
            </w:r>
          </w:p>
        </w:tc>
      </w:tr>
      <w:tr>
        <w:tc>
          <w:tcPr>
            <w:tcW w:type="dxa" w:w="2592"/>
            <w:vAlign w:val="top"/>
            <w:tcBorders>
              <w:top w:val="single" w:sz="4" w:color="D8D2DE"/>
              <w:left w:val="single" w:sz="4" w:color="D8D2DE"/>
              <w:bottom w:val="single" w:sz="4" w:color="D8D2DE"/>
              <w:right w:val="single" w:sz="4" w:color="D8D2DE"/>
            </w:tcBorders>
          </w:tcPr>
          <w:p>
            <w:r>
              <w:rPr>
                <w:rFonts w:ascii="Aptos" w:hAnsi="Aptos"/>
                <w:sz w:val="17"/>
              </w:rPr>
              <w:t>Scope &amp; Criteria</w:t>
            </w:r>
          </w:p>
        </w:tc>
        <w:tc>
          <w:tcPr>
            <w:tcW w:type="dxa" w:w="8208"/>
            <w:vAlign w:val="top"/>
            <w:tcBorders>
              <w:top w:val="single" w:sz="4" w:color="D8D2DE"/>
              <w:left w:val="single" w:sz="4" w:color="D8D2DE"/>
              <w:bottom w:val="single" w:sz="4" w:color="D8D2DE"/>
              <w:right w:val="single" w:sz="4" w:color="D8D2DE"/>
            </w:tcBorders>
          </w:tcPr>
          <w:p>
            <w:r>
              <w:rPr>
                <w:rFonts w:ascii="Aptos" w:hAnsi="Aptos"/>
                <w:sz w:val="17"/>
              </w:rPr>
              <w:t>Scope Setup; Criteria Workspace</w:t>
            </w:r>
          </w:p>
        </w:tc>
      </w:tr>
      <w:tr>
        <w:tc>
          <w:tcPr>
            <w:tcW w:type="dxa" w:w="2592"/>
            <w:vAlign w:val="top"/>
            <w:tcBorders>
              <w:top w:val="single" w:sz="4" w:color="D8D2DE"/>
              <w:left w:val="single" w:sz="4" w:color="D8D2DE"/>
              <w:bottom w:val="single" w:sz="4" w:color="D8D2DE"/>
              <w:right w:val="single" w:sz="4" w:color="D8D2DE"/>
            </w:tcBorders>
          </w:tcPr>
          <w:p>
            <w:r>
              <w:rPr>
                <w:rFonts w:ascii="Aptos" w:hAnsi="Aptos"/>
                <w:sz w:val="17"/>
              </w:rPr>
              <w:t>Controls &amp; Testing</w:t>
            </w:r>
          </w:p>
        </w:tc>
        <w:tc>
          <w:tcPr>
            <w:tcW w:type="dxa" w:w="8208"/>
            <w:vAlign w:val="top"/>
            <w:tcBorders>
              <w:top w:val="single" w:sz="4" w:color="D8D2DE"/>
              <w:left w:val="single" w:sz="4" w:color="D8D2DE"/>
              <w:bottom w:val="single" w:sz="4" w:color="D8D2DE"/>
              <w:right w:val="single" w:sz="4" w:color="D8D2DE"/>
            </w:tcBorders>
          </w:tcPr>
          <w:p>
            <w:r>
              <w:rPr>
                <w:rFonts w:ascii="Aptos" w:hAnsi="Aptos"/>
                <w:sz w:val="17"/>
              </w:rPr>
              <w:t>Control Coverage Plan; Implementation Workbench; Control Assessments; Tests &amp; Monitoring; Evidence; Operational Readiness</w:t>
            </w:r>
          </w:p>
        </w:tc>
      </w:tr>
      <w:tr>
        <w:tc>
          <w:tcPr>
            <w:tcW w:type="dxa" w:w="2592"/>
            <w:vAlign w:val="top"/>
            <w:tcBorders>
              <w:top w:val="single" w:sz="4" w:color="D8D2DE"/>
              <w:left w:val="single" w:sz="4" w:color="D8D2DE"/>
              <w:bottom w:val="single" w:sz="4" w:color="D8D2DE"/>
              <w:right w:val="single" w:sz="4" w:color="D8D2DE"/>
            </w:tcBorders>
          </w:tcPr>
          <w:p>
            <w:r>
              <w:rPr>
                <w:rFonts w:ascii="Aptos" w:hAnsi="Aptos"/>
                <w:sz w:val="17"/>
              </w:rPr>
              <w:t>Remediation</w:t>
            </w:r>
          </w:p>
        </w:tc>
        <w:tc>
          <w:tcPr>
            <w:tcW w:type="dxa" w:w="8208"/>
            <w:vAlign w:val="top"/>
            <w:tcBorders>
              <w:top w:val="single" w:sz="4" w:color="D8D2DE"/>
              <w:left w:val="single" w:sz="4" w:color="D8D2DE"/>
              <w:bottom w:val="single" w:sz="4" w:color="D8D2DE"/>
              <w:right w:val="single" w:sz="4" w:color="D8D2DE"/>
            </w:tcBorders>
          </w:tcPr>
          <w:p>
            <w:r>
              <w:rPr>
                <w:rFonts w:ascii="Aptos" w:hAnsi="Aptos"/>
                <w:sz w:val="17"/>
              </w:rPr>
              <w:t>Issues, Exceptions &amp; Decisions</w:t>
            </w:r>
          </w:p>
        </w:tc>
      </w:tr>
      <w:tr>
        <w:tc>
          <w:tcPr>
            <w:tcW w:type="dxa" w:w="2592"/>
            <w:vAlign w:val="top"/>
            <w:tcBorders>
              <w:top w:val="single" w:sz="4" w:color="D8D2DE"/>
              <w:left w:val="single" w:sz="4" w:color="D8D2DE"/>
              <w:bottom w:val="single" w:sz="4" w:color="D8D2DE"/>
              <w:right w:val="single" w:sz="4" w:color="D8D2DE"/>
            </w:tcBorders>
          </w:tcPr>
          <w:p>
            <w:r>
              <w:rPr>
                <w:rFonts w:ascii="Aptos" w:hAnsi="Aptos"/>
                <w:sz w:val="17"/>
              </w:rPr>
              <w:t>Final readiness</w:t>
            </w:r>
          </w:p>
        </w:tc>
        <w:tc>
          <w:tcPr>
            <w:tcW w:type="dxa" w:w="8208"/>
            <w:vAlign w:val="top"/>
            <w:tcBorders>
              <w:top w:val="single" w:sz="4" w:color="D8D2DE"/>
              <w:left w:val="single" w:sz="4" w:color="D8D2DE"/>
              <w:bottom w:val="single" w:sz="4" w:color="D8D2DE"/>
              <w:right w:val="single" w:sz="4" w:color="D8D2DE"/>
            </w:tcBorders>
          </w:tcPr>
          <w:p>
            <w:r>
              <w:rPr>
                <w:rFonts w:ascii="Aptos" w:hAnsi="Aptos"/>
                <w:sz w:val="17"/>
              </w:rPr>
              <w:t>Audit Readiness</w:t>
            </w:r>
          </w:p>
        </w:tc>
      </w:tr>
    </w:tbl>
    <w:p>
      <w:pPr>
        <w:spacing w:after="20"/>
      </w:pPr>
    </w:p>
    <w:p>
      <w:r>
        <w:br w:type="page"/>
      </w:r>
    </w:p>
    <w:p>
      <w:pPr>
        <w:pStyle w:val="Heading1"/>
      </w:pPr>
      <w:r>
        <w:rPr>
          <w:rFonts w:ascii="Aptos" w:hAnsi="Aptos"/>
          <w:b/>
          <w:color w:val="4B0983"/>
          <w:sz w:val="38"/>
        </w:rPr>
        <w:t>6. Setup Step 1 - Trust Services scope</w:t>
      </w:r>
    </w:p>
    <w:p>
      <w:pPr>
        <w:spacing w:after="100"/>
      </w:pPr>
      <w:r>
        <w:rPr>
          <w:rFonts w:ascii="Aptos" w:hAnsi="Aptos"/>
        </w:rPr>
        <w:t>Goal: decide which Trust Services Categories belong in the intended SOC 2 examination scope. PurpleWASP treats Security as the baseline and lets management add optional categories only where they are justified by the service and its commitments.</w:t>
      </w:r>
    </w:p>
    <w:p>
      <w:pPr>
        <w:jc w:val="center"/>
      </w:pPr>
      <w:r>
        <w:drawing>
          <wp:inline xmlns:a="http://schemas.openxmlformats.org/drawingml/2006/main" xmlns:pic="http://schemas.openxmlformats.org/drawingml/2006/picture">
            <wp:extent cx="6263640" cy="3805907"/>
            <wp:docPr id="2" name="Picture 2" descr="Figure 2. Illustrative Trust Services scope screen. Security is the required baseline; additional categories are optional."/>
            <wp:cNvGraphicFramePr>
              <a:graphicFrameLocks noChangeAspect="1"/>
            </wp:cNvGraphicFramePr>
            <a:graphic>
              <a:graphicData uri="http://schemas.openxmlformats.org/drawingml/2006/picture">
                <pic:pic>
                  <pic:nvPicPr>
                    <pic:cNvPr id="0" name="02_scope_categories.png"/>
                    <pic:cNvPicPr/>
                  </pic:nvPicPr>
                  <pic:blipFill>
                    <a:blip r:embed="rId12"/>
                    <a:stretch>
                      <a:fillRect/>
                    </a:stretch>
                  </pic:blipFill>
                  <pic:spPr>
                    <a:xfrm>
                      <a:off x="0" y="0"/>
                      <a:ext cx="6263640" cy="3805907"/>
                    </a:xfrm>
                    <a:prstGeom prst="rect"/>
                  </pic:spPr>
                </pic:pic>
              </a:graphicData>
            </a:graphic>
          </wp:inline>
        </w:drawing>
      </w:r>
    </w:p>
    <w:p>
      <w:pPr>
        <w:spacing w:after="160"/>
        <w:jc w:val="center"/>
      </w:pPr>
      <w:r>
        <w:rPr>
          <w:rFonts w:ascii="Aptos" w:hAnsi="Aptos"/>
          <w:i/>
          <w:color w:val="6B6470"/>
          <w:sz w:val="17"/>
        </w:rPr>
        <w:t>Figure 2. Illustrative Trust Services scope screen. Security is the required baseline; additional categories are optional.</w:t>
      </w:r>
    </w:p>
    <w:p>
      <w:pPr>
        <w:pStyle w:val="Heading2"/>
      </w:pPr>
      <w:r>
        <w:rPr>
          <w:rFonts w:ascii="Aptos" w:hAnsi="Aptos"/>
          <w:b/>
          <w:color w:val="24152E"/>
          <w:sz w:val="28"/>
        </w:rPr>
        <w:t>6.1 Step-by-step</w:t>
      </w:r>
    </w:p>
    <w:p>
      <w:pPr>
        <w:spacing w:after="80"/>
        <w:ind w:left="259" w:hanging="259"/>
      </w:pPr>
      <w:r>
        <w:rPr>
          <w:rFonts w:ascii="Aptos" w:hAnsi="Aptos"/>
          <w:b/>
          <w:color w:val="4B0983"/>
        </w:rPr>
        <w:t xml:space="preserve">1. </w:t>
      </w:r>
      <w:r>
        <w:rPr>
          <w:rFonts w:ascii="Aptos" w:hAnsi="Aptos"/>
          <w:b/>
        </w:rPr>
        <w:t xml:space="preserve">Review the "Before choosing Trust Services Categories" guidance. </w:t>
      </w:r>
      <w:r>
        <w:rPr>
          <w:rFonts w:ascii="Aptos" w:hAnsi="Aptos"/>
        </w:rPr>
        <w:t>Do not treat the category list as a maturity checklist. The question is what the intended SOC 2 examination needs to cover.</w:t>
      </w:r>
    </w:p>
    <w:p>
      <w:pPr>
        <w:spacing w:after="80"/>
        <w:ind w:left="259" w:hanging="259"/>
      </w:pPr>
      <w:r>
        <w:rPr>
          <w:rFonts w:ascii="Aptos" w:hAnsi="Aptos"/>
          <w:b/>
          <w:color w:val="4B0983"/>
        </w:rPr>
        <w:t xml:space="preserve">2. </w:t>
      </w:r>
      <w:r>
        <w:rPr>
          <w:rFonts w:ascii="Aptos" w:hAnsi="Aptos"/>
          <w:b/>
        </w:rPr>
        <w:t xml:space="preserve">Keep Security selected. </w:t>
      </w:r>
      <w:r>
        <w:rPr>
          <w:rFonts w:ascii="Aptos" w:hAnsi="Aptos"/>
        </w:rPr>
        <w:t>The current PurpleWASP workflow includes Security as the baseline and carries the Common Criteria into the engagement.</w:t>
      </w:r>
    </w:p>
    <w:p>
      <w:pPr>
        <w:spacing w:after="80"/>
        <w:ind w:left="259" w:hanging="259"/>
      </w:pPr>
      <w:r>
        <w:rPr>
          <w:rFonts w:ascii="Aptos" w:hAnsi="Aptos"/>
          <w:b/>
          <w:color w:val="4B0983"/>
        </w:rPr>
        <w:t xml:space="preserve">3. </w:t>
      </w:r>
      <w:r>
        <w:rPr>
          <w:rFonts w:ascii="Aptos" w:hAnsi="Aptos"/>
          <w:b/>
        </w:rPr>
        <w:t xml:space="preserve">Review Availability. </w:t>
      </w:r>
      <w:r>
        <w:rPr>
          <w:rFonts w:ascii="Aptos" w:hAnsi="Aptos"/>
        </w:rPr>
        <w:t>Select it when the service has relevant availability, capacity, uptime, recovery or resilience commitments that stakeholders expect to be examined.</w:t>
      </w:r>
    </w:p>
    <w:p>
      <w:pPr>
        <w:spacing w:after="80"/>
        <w:ind w:left="259" w:hanging="259"/>
      </w:pPr>
      <w:r>
        <w:rPr>
          <w:rFonts w:ascii="Aptos" w:hAnsi="Aptos"/>
          <w:b/>
          <w:color w:val="4B0983"/>
        </w:rPr>
        <w:t xml:space="preserve">4. </w:t>
      </w:r>
      <w:r>
        <w:rPr>
          <w:rFonts w:ascii="Aptos" w:hAnsi="Aptos"/>
          <w:b/>
        </w:rPr>
        <w:t xml:space="preserve">Review Processing Integrity. </w:t>
      </w:r>
      <w:r>
        <w:rPr>
          <w:rFonts w:ascii="Aptos" w:hAnsi="Aptos"/>
        </w:rPr>
        <w:t>Select it when the service promises processing that must be complete, valid, accurate, timely or authorised.</w:t>
      </w:r>
    </w:p>
    <w:p>
      <w:pPr>
        <w:spacing w:after="80"/>
        <w:ind w:left="259" w:hanging="259"/>
      </w:pPr>
      <w:r>
        <w:rPr>
          <w:rFonts w:ascii="Aptos" w:hAnsi="Aptos"/>
          <w:b/>
          <w:color w:val="4B0983"/>
        </w:rPr>
        <w:t xml:space="preserve">5. </w:t>
      </w:r>
      <w:r>
        <w:rPr>
          <w:rFonts w:ascii="Aptos" w:hAnsi="Aptos"/>
          <w:b/>
        </w:rPr>
        <w:t xml:space="preserve">Review Confidentiality. </w:t>
      </w:r>
      <w:r>
        <w:rPr>
          <w:rFonts w:ascii="Aptos" w:hAnsi="Aptos"/>
        </w:rPr>
        <w:t>Select it when information designated as confidential is materially in scope.</w:t>
      </w:r>
    </w:p>
    <w:p>
      <w:pPr>
        <w:spacing w:after="80"/>
        <w:ind w:left="259" w:hanging="259"/>
      </w:pPr>
      <w:r>
        <w:rPr>
          <w:rFonts w:ascii="Aptos" w:hAnsi="Aptos"/>
          <w:b/>
          <w:color w:val="4B0983"/>
        </w:rPr>
        <w:t xml:space="preserve">6. </w:t>
      </w:r>
      <w:r>
        <w:rPr>
          <w:rFonts w:ascii="Aptos" w:hAnsi="Aptos"/>
          <w:b/>
        </w:rPr>
        <w:t xml:space="preserve">Review Privacy. </w:t>
      </w:r>
      <w:r>
        <w:rPr>
          <w:rFonts w:ascii="Aptos" w:hAnsi="Aptos"/>
        </w:rPr>
        <w:t>Select it when personal-information privacy commitments and lifecycle obligations are intended to be examined.</w:t>
      </w:r>
    </w:p>
    <w:p>
      <w:pPr>
        <w:spacing w:after="80"/>
        <w:ind w:left="259" w:hanging="259"/>
      </w:pPr>
      <w:r>
        <w:rPr>
          <w:rFonts w:ascii="Aptos" w:hAnsi="Aptos"/>
          <w:b/>
          <w:color w:val="4B0983"/>
        </w:rPr>
        <w:t xml:space="preserve">7. </w:t>
      </w:r>
      <w:r>
        <w:rPr>
          <w:rFonts w:ascii="Aptos" w:hAnsi="Aptos"/>
          <w:b/>
        </w:rPr>
        <w:t xml:space="preserve">Use the Decision Helper when uncertain. </w:t>
      </w:r>
      <w:r>
        <w:rPr>
          <w:rFonts w:ascii="Aptos" w:hAnsi="Aptos"/>
        </w:rPr>
        <w:t>The helper changes the preview only; it does not commit the configuration.</w:t>
      </w:r>
    </w:p>
    <w:p>
      <w:pPr>
        <w:spacing w:after="80"/>
        <w:ind w:left="259" w:hanging="259"/>
      </w:pPr>
      <w:r>
        <w:rPr>
          <w:rFonts w:ascii="Aptos" w:hAnsi="Aptos"/>
          <w:b/>
          <w:color w:val="4B0983"/>
        </w:rPr>
        <w:t xml:space="preserve">8. </w:t>
      </w:r>
      <w:r>
        <w:rPr>
          <w:rFonts w:ascii="Aptos" w:hAnsi="Aptos"/>
          <w:b/>
        </w:rPr>
        <w:t xml:space="preserve">Refresh the preview. </w:t>
      </w:r>
      <w:r>
        <w:rPr>
          <w:rFonts w:ascii="Aptos" w:hAnsi="Aptos"/>
        </w:rPr>
        <w:t>Review the expected criterion/control impact before continuing.</w:t>
      </w:r>
    </w:p>
    <w:p>
      <w:pPr>
        <w:spacing w:after="80"/>
        <w:ind w:left="259" w:hanging="259"/>
      </w:pPr>
      <w:r>
        <w:rPr>
          <w:rFonts w:ascii="Aptos" w:hAnsi="Aptos"/>
          <w:b/>
          <w:color w:val="4B0983"/>
        </w:rPr>
        <w:t xml:space="preserve">9. </w:t>
      </w:r>
      <w:r>
        <w:rPr>
          <w:rFonts w:ascii="Aptos" w:hAnsi="Aptos"/>
          <w:b/>
        </w:rPr>
        <w:t xml:space="preserve">Continue to System Scope Discovery. </w:t>
      </w:r>
      <w:r>
        <w:rPr>
          <w:rFonts w:ascii="Aptos" w:hAnsi="Aptos"/>
        </w:rPr>
        <w:t>The selected categories are carried into Step 2 as a browser-session draft until final confirmation.</w:t>
      </w:r>
    </w:p>
    <w:tbl>
      <w:tblPr>
        <w:tblW w:type="auto" w:w="0"/>
        <w:jc w:val="center"/>
        <w:tblLayout w:type="autofit"/>
        <w:tblLook w:firstColumn="1" w:firstRow="1" w:lastColumn="0" w:lastRow="0" w:noHBand="0" w:noVBand="1" w:val="04A0"/>
      </w:tblPr>
      <w:tblGrid>
        <w:gridCol w:w="9994"/>
      </w:tblGrid>
      <w:tr>
        <w:tc>
          <w:tcPr>
            <w:tcW w:type="dxa" w:w="9994"/>
            <w:shd w:fill="EEF5FF"/>
            <w:tcBorders>
              <w:top w:val="nil"/>
              <w:left w:val="single" w:sz="18" w:color="1F5AA6"/>
              <w:bottom w:val="nil"/>
              <w:right w:val="nil"/>
            </w:tcBorders>
          </w:tcPr>
          <w:p>
            <w:pPr>
              <w:spacing w:after="60"/>
            </w:pPr>
            <w:r>
              <w:rPr>
                <w:rFonts w:ascii="Aptos" w:hAnsi="Aptos"/>
                <w:b/>
                <w:color w:val="1F5AA6"/>
                <w:sz w:val="21"/>
              </w:rPr>
              <w:t>Confidentiality is not the same as Privacy.</w:t>
            </w:r>
          </w:p>
          <w:p>
            <w:pPr>
              <w:spacing w:after="0"/>
            </w:pPr>
            <w:r>
              <w:rPr>
                <w:rFonts w:ascii="Aptos" w:hAnsi="Aptos"/>
                <w:sz w:val="19"/>
              </w:rPr>
              <w:t>Confidentiality concerns information designated as confidential. Privacy concerns personal information and privacy commitments across its lifecycle. A service can need one, both or neither beyond the Security baseline.</w:t>
            </w:r>
          </w:p>
        </w:tc>
      </w:tr>
    </w:tbl>
    <w:p>
      <w:pPr>
        <w:spacing w:after="20"/>
      </w:pPr>
    </w:p>
    <w:p>
      <w:pPr>
        <w:pStyle w:val="Heading2"/>
      </w:pPr>
      <w:r>
        <w:rPr>
          <w:rFonts w:ascii="Aptos" w:hAnsi="Aptos"/>
          <w:b/>
          <w:color w:val="24152E"/>
          <w:sz w:val="28"/>
        </w:rPr>
        <w:t>6.2 What to record in your implementation notes</w:t>
      </w:r>
    </w:p>
    <w:p>
      <w:pPr>
        <w:pStyle w:val="ListBullet"/>
        <w:spacing w:after="40"/>
      </w:pPr>
      <w:r>
        <w:rPr>
          <w:rFonts w:ascii="Aptos" w:hAnsi="Aptos"/>
        </w:rPr>
        <w:t>Why each optional category was selected.</w:t>
      </w:r>
    </w:p>
    <w:p>
      <w:pPr>
        <w:pStyle w:val="ListBullet"/>
        <w:spacing w:after="40"/>
      </w:pPr>
      <w:r>
        <w:rPr>
          <w:rFonts w:ascii="Aptos" w:hAnsi="Aptos"/>
        </w:rPr>
        <w:t>Which customer contract, service promise, regulatory expectation or internal system requirement supports the decision.</w:t>
      </w:r>
    </w:p>
    <w:p>
      <w:pPr>
        <w:pStyle w:val="ListBullet"/>
        <w:spacing w:after="40"/>
      </w:pPr>
      <w:r>
        <w:rPr>
          <w:rFonts w:ascii="Aptos" w:hAnsi="Aptos"/>
        </w:rPr>
        <w:t>Any category discussed but intentionally not selected, together with the reason.</w:t>
      </w:r>
    </w:p>
    <w:p>
      <w:r>
        <w:br w:type="page"/>
      </w:r>
    </w:p>
    <w:p>
      <w:pPr>
        <w:pStyle w:val="Heading1"/>
      </w:pPr>
      <w:r>
        <w:rPr>
          <w:rFonts w:ascii="Aptos" w:hAnsi="Aptos"/>
          <w:b/>
          <w:color w:val="4B0983"/>
          <w:sz w:val="38"/>
        </w:rPr>
        <w:t>7. Setup Step 2 - System boundary discovery</w:t>
      </w:r>
    </w:p>
    <w:p>
      <w:pPr>
        <w:spacing w:after="100"/>
      </w:pPr>
      <w:r>
        <w:rPr>
          <w:rFonts w:ascii="Aptos" w:hAnsi="Aptos"/>
        </w:rPr>
        <w:t>Goal: turn PurpleWASP organisational data into a proposed SOC 2 system boundary, then make management’s inclusion/review/exclusion decisions explicit. This is one of the most important stages because every later control, evidence and test conclusion depends on what system is actually in scope.</w:t>
      </w:r>
    </w:p>
    <w:p>
      <w:pPr>
        <w:jc w:val="center"/>
      </w:pPr>
      <w:r>
        <w:drawing>
          <wp:inline xmlns:a="http://schemas.openxmlformats.org/drawingml/2006/main" xmlns:pic="http://schemas.openxmlformats.org/drawingml/2006/picture">
            <wp:extent cx="6263640" cy="3805907"/>
            <wp:docPr id="3" name="Picture 3" descr="Figure 3. Illustrative system discovery screen showing process anchors, discovered assets/third parties and gap review."/>
            <wp:cNvGraphicFramePr>
              <a:graphicFrameLocks noChangeAspect="1"/>
            </wp:cNvGraphicFramePr>
            <a:graphic>
              <a:graphicData uri="http://schemas.openxmlformats.org/drawingml/2006/picture">
                <pic:pic>
                  <pic:nvPicPr>
                    <pic:cNvPr id="0" name="03_system_scope.png"/>
                    <pic:cNvPicPr/>
                  </pic:nvPicPr>
                  <pic:blipFill>
                    <a:blip r:embed="rId13"/>
                    <a:stretch>
                      <a:fillRect/>
                    </a:stretch>
                  </pic:blipFill>
                  <pic:spPr>
                    <a:xfrm>
                      <a:off x="0" y="0"/>
                      <a:ext cx="6263640" cy="3805907"/>
                    </a:xfrm>
                    <a:prstGeom prst="rect"/>
                  </pic:spPr>
                </pic:pic>
              </a:graphicData>
            </a:graphic>
          </wp:inline>
        </w:drawing>
      </w:r>
    </w:p>
    <w:p>
      <w:pPr>
        <w:spacing w:after="160"/>
        <w:jc w:val="center"/>
      </w:pPr>
      <w:r>
        <w:rPr>
          <w:rFonts w:ascii="Aptos" w:hAnsi="Aptos"/>
          <w:i/>
          <w:color w:val="6B6470"/>
          <w:sz w:val="17"/>
        </w:rPr>
        <w:t>Figure 3. Illustrative system discovery screen showing process anchors, discovered assets/third parties and gap review.</w:t>
      </w:r>
    </w:p>
    <w:p>
      <w:pPr>
        <w:pStyle w:val="Heading2"/>
      </w:pPr>
      <w:r>
        <w:rPr>
          <w:rFonts w:ascii="Aptos" w:hAnsi="Aptos"/>
          <w:b/>
          <w:color w:val="24152E"/>
          <w:sz w:val="28"/>
        </w:rPr>
        <w:t>7.1 Select the business processes that anchor the boundary</w:t>
      </w:r>
    </w:p>
    <w:p>
      <w:pPr>
        <w:spacing w:after="80"/>
        <w:ind w:left="259" w:hanging="259"/>
      </w:pPr>
      <w:r>
        <w:rPr>
          <w:rFonts w:ascii="Aptos" w:hAnsi="Aptos"/>
          <w:b/>
          <w:color w:val="4B0983"/>
        </w:rPr>
        <w:t xml:space="preserve">1. </w:t>
      </w:r>
      <w:r>
        <w:rPr>
          <w:rFonts w:ascii="Aptos" w:hAnsi="Aptos"/>
          <w:b/>
        </w:rPr>
        <w:t xml:space="preserve">Choose processes that actually deliver or support the service. </w:t>
      </w:r>
      <w:r>
        <w:rPr>
          <w:rFonts w:ascii="Aptos" w:hAnsi="Aptos"/>
        </w:rPr>
        <w:t>Examples may include production operations, customer onboarding, access administration, support, incident response and change management.</w:t>
      </w:r>
    </w:p>
    <w:p>
      <w:pPr>
        <w:spacing w:after="80"/>
        <w:ind w:left="259" w:hanging="259"/>
      </w:pPr>
      <w:r>
        <w:rPr>
          <w:rFonts w:ascii="Aptos" w:hAnsi="Aptos"/>
          <w:b/>
          <w:color w:val="4B0983"/>
        </w:rPr>
        <w:t xml:space="preserve">2. </w:t>
      </w:r>
      <w:r>
        <w:rPr>
          <w:rFonts w:ascii="Aptos" w:hAnsi="Aptos"/>
          <w:b/>
        </w:rPr>
        <w:t xml:space="preserve">Avoid selecting unrelated corporate processes merely because they exist. </w:t>
      </w:r>
      <w:r>
        <w:rPr>
          <w:rFonts w:ascii="Aptos" w:hAnsi="Aptos"/>
        </w:rPr>
        <w:t>Scope should be defensible and tied to the service under examination.</w:t>
      </w:r>
    </w:p>
    <w:p>
      <w:pPr>
        <w:spacing w:after="80"/>
        <w:ind w:left="259" w:hanging="259"/>
      </w:pPr>
      <w:r>
        <w:rPr>
          <w:rFonts w:ascii="Aptos" w:hAnsi="Aptos"/>
          <w:b/>
          <w:color w:val="4B0983"/>
        </w:rPr>
        <w:t xml:space="preserve">3. </w:t>
      </w:r>
      <w:r>
        <w:rPr>
          <w:rFonts w:ascii="Aptos" w:hAnsi="Aptos"/>
          <w:b/>
        </w:rPr>
        <w:t xml:space="preserve">Add a scope-only process if PurpleWASP does not yet know about a material process. </w:t>
      </w:r>
      <w:r>
        <w:rPr>
          <w:rFonts w:ascii="Aptos" w:hAnsi="Aptos"/>
        </w:rPr>
        <w:t>Use the Add scope-only item workflow rather than pretending an unrelated existing process is the correct anchor.</w:t>
      </w:r>
    </w:p>
    <w:p>
      <w:pPr>
        <w:pStyle w:val="Heading2"/>
      </w:pPr>
      <w:r>
        <w:rPr>
          <w:rFonts w:ascii="Aptos" w:hAnsi="Aptos"/>
          <w:b/>
          <w:color w:val="24152E"/>
          <w:sz w:val="28"/>
        </w:rPr>
        <w:t>7.2 Discover the proposed system</w:t>
      </w:r>
    </w:p>
    <w:p>
      <w:pPr>
        <w:spacing w:after="100"/>
      </w:pPr>
      <w:r>
        <w:rPr>
          <w:rFonts w:ascii="Aptos" w:hAnsi="Aptos"/>
        </w:rPr>
        <w:t>Run discovery after selecting the process anchors. PurpleWASP uses available relationships to propose assets, third parties/services and supporting information such as controls, risks and policies. Trust Services Category signals are advisory; they do not replace management’s scope judgement.</w:t>
      </w:r>
    </w:p>
    <w:p>
      <w:pPr>
        <w:pStyle w:val="Heading2"/>
      </w:pPr>
      <w:r>
        <w:rPr>
          <w:rFonts w:ascii="Aptos" w:hAnsi="Aptos"/>
          <w:b/>
          <w:color w:val="24152E"/>
          <w:sz w:val="28"/>
        </w:rPr>
        <w:t>7.3 Review every discovered object</w:t>
      </w:r>
    </w:p>
    <w:tbl>
      <w:tblPr>
        <w:tblStyle w:val="TableGrid"/>
        <w:tblW w:type="auto" w:w="0"/>
        <w:jc w:val="center"/>
        <w:tblLook w:firstColumn="1" w:firstRow="1" w:lastColumn="0" w:lastRow="0" w:noHBand="0" w:noVBand="1" w:val="04A0"/>
      </w:tblPr>
      <w:tblGrid>
        <w:gridCol w:w="3331"/>
        <w:gridCol w:w="3331"/>
        <w:gridCol w:w="3331"/>
      </w:tblGrid>
      <w:tr>
        <w:tc>
          <w:tcPr>
            <w:tcW w:type="dxa" w:w="1440"/>
            <w:shd w:fill="4B0983"/>
            <w:vAlign w:val="center"/>
          </w:tcPr>
          <w:p>
            <w:pPr>
              <w:jc w:val="left"/>
            </w:pPr>
            <w:r>
              <w:rPr>
                <w:rFonts w:ascii="Aptos" w:hAnsi="Aptos"/>
                <w:b/>
                <w:color w:val="FFFFFF"/>
                <w:sz w:val="17"/>
              </w:rPr>
              <w:t>Decision</w:t>
            </w:r>
          </w:p>
        </w:tc>
        <w:tc>
          <w:tcPr>
            <w:tcW w:type="dxa" w:w="4464"/>
            <w:shd w:fill="4B0983"/>
            <w:vAlign w:val="center"/>
          </w:tcPr>
          <w:p>
            <w:pPr>
              <w:jc w:val="left"/>
            </w:pPr>
            <w:r>
              <w:rPr>
                <w:rFonts w:ascii="Aptos" w:hAnsi="Aptos"/>
                <w:b/>
                <w:color w:val="FFFFFF"/>
                <w:sz w:val="17"/>
              </w:rPr>
              <w:t>Use it when</w:t>
            </w:r>
          </w:p>
        </w:tc>
        <w:tc>
          <w:tcPr>
            <w:tcW w:type="dxa" w:w="6048"/>
            <w:shd w:fill="4B0983"/>
            <w:vAlign w:val="center"/>
          </w:tcPr>
          <w:p>
            <w:pPr>
              <w:jc w:val="left"/>
            </w:pPr>
            <w:r>
              <w:rPr>
                <w:rFonts w:ascii="Aptos" w:hAnsi="Aptos"/>
                <w:b/>
                <w:color w:val="FFFFFF"/>
                <w:sz w:val="17"/>
              </w:rPr>
              <w:t>Documentation expectation</w:t>
            </w:r>
          </w:p>
        </w:tc>
      </w:tr>
      <w:tr>
        <w:tc>
          <w:tcPr>
            <w:tcW w:type="dxa" w:w="1440"/>
            <w:vAlign w:val="top"/>
            <w:tcBorders>
              <w:top w:val="single" w:sz="4" w:color="D8D2DE"/>
              <w:left w:val="single" w:sz="4" w:color="D8D2DE"/>
              <w:bottom w:val="single" w:sz="4" w:color="D8D2DE"/>
              <w:right w:val="single" w:sz="4" w:color="D8D2DE"/>
            </w:tcBorders>
          </w:tcPr>
          <w:p>
            <w:r>
              <w:rPr>
                <w:rFonts w:ascii="Aptos" w:hAnsi="Aptos"/>
                <w:sz w:val="17"/>
              </w:rPr>
              <w:t>Include</w:t>
            </w:r>
          </w:p>
        </w:tc>
        <w:tc>
          <w:tcPr>
            <w:tcW w:type="dxa" w:w="4464"/>
            <w:vAlign w:val="top"/>
            <w:tcBorders>
              <w:top w:val="single" w:sz="4" w:color="D8D2DE"/>
              <w:left w:val="single" w:sz="4" w:color="D8D2DE"/>
              <w:bottom w:val="single" w:sz="4" w:color="D8D2DE"/>
              <w:right w:val="single" w:sz="4" w:color="D8D2DE"/>
            </w:tcBorders>
          </w:tcPr>
          <w:p>
            <w:r>
              <w:rPr>
                <w:rFonts w:ascii="Aptos" w:hAnsi="Aptos"/>
                <w:sz w:val="17"/>
              </w:rPr>
              <w:t>The object is part of the system or materially supports delivery of the scoped service.</w:t>
            </w:r>
          </w:p>
        </w:tc>
        <w:tc>
          <w:tcPr>
            <w:tcW w:type="dxa" w:w="6048"/>
            <w:vAlign w:val="top"/>
            <w:tcBorders>
              <w:top w:val="single" w:sz="4" w:color="D8D2DE"/>
              <w:left w:val="single" w:sz="4" w:color="D8D2DE"/>
              <w:bottom w:val="single" w:sz="4" w:color="D8D2DE"/>
              <w:right w:val="single" w:sz="4" w:color="D8D2DE"/>
            </w:tcBorders>
          </w:tcPr>
          <w:p>
            <w:r>
              <w:rPr>
                <w:rFonts w:ascii="Aptos" w:hAnsi="Aptos"/>
                <w:sz w:val="17"/>
              </w:rPr>
              <w:t>Record/include it in the boundary.</w:t>
            </w:r>
          </w:p>
        </w:tc>
      </w:tr>
      <w:tr>
        <w:tc>
          <w:tcPr>
            <w:tcW w:type="dxa" w:w="1440"/>
            <w:vAlign w:val="top"/>
            <w:tcBorders>
              <w:top w:val="single" w:sz="4" w:color="D8D2DE"/>
              <w:left w:val="single" w:sz="4" w:color="D8D2DE"/>
              <w:bottom w:val="single" w:sz="4" w:color="D8D2DE"/>
              <w:right w:val="single" w:sz="4" w:color="D8D2DE"/>
            </w:tcBorders>
          </w:tcPr>
          <w:p>
            <w:r>
              <w:rPr>
                <w:rFonts w:ascii="Aptos" w:hAnsi="Aptos"/>
                <w:sz w:val="17"/>
              </w:rPr>
              <w:t>Review</w:t>
            </w:r>
          </w:p>
        </w:tc>
        <w:tc>
          <w:tcPr>
            <w:tcW w:type="dxa" w:w="4464"/>
            <w:vAlign w:val="top"/>
            <w:tcBorders>
              <w:top w:val="single" w:sz="4" w:color="D8D2DE"/>
              <w:left w:val="single" w:sz="4" w:color="D8D2DE"/>
              <w:bottom w:val="single" w:sz="4" w:color="D8D2DE"/>
              <w:right w:val="single" w:sz="4" w:color="D8D2DE"/>
            </w:tcBorders>
          </w:tcPr>
          <w:p>
            <w:r>
              <w:rPr>
                <w:rFonts w:ascii="Aptos" w:hAnsi="Aptos"/>
                <w:sz w:val="17"/>
              </w:rPr>
              <w:t>Management has not resolved whether it belongs in scope.</w:t>
            </w:r>
          </w:p>
        </w:tc>
        <w:tc>
          <w:tcPr>
            <w:tcW w:type="dxa" w:w="6048"/>
            <w:vAlign w:val="top"/>
            <w:tcBorders>
              <w:top w:val="single" w:sz="4" w:color="D8D2DE"/>
              <w:left w:val="single" w:sz="4" w:color="D8D2DE"/>
              <w:bottom w:val="single" w:sz="4" w:color="D8D2DE"/>
              <w:right w:val="single" w:sz="4" w:color="D8D2DE"/>
            </w:tcBorders>
          </w:tcPr>
          <w:p>
            <w:r>
              <w:rPr>
                <w:rFonts w:ascii="Aptos" w:hAnsi="Aptos"/>
                <w:sz w:val="17"/>
              </w:rPr>
              <w:t>Do not leave this unresolved at confirmation; investigate ownership, relationship or service dependency.</w:t>
            </w:r>
          </w:p>
        </w:tc>
      </w:tr>
      <w:tr>
        <w:tc>
          <w:tcPr>
            <w:tcW w:type="dxa" w:w="1440"/>
            <w:vAlign w:val="top"/>
            <w:tcBorders>
              <w:top w:val="single" w:sz="4" w:color="D8D2DE"/>
              <w:left w:val="single" w:sz="4" w:color="D8D2DE"/>
              <w:bottom w:val="single" w:sz="4" w:color="D8D2DE"/>
              <w:right w:val="single" w:sz="4" w:color="D8D2DE"/>
            </w:tcBorders>
          </w:tcPr>
          <w:p>
            <w:r>
              <w:rPr>
                <w:rFonts w:ascii="Aptos" w:hAnsi="Aptos"/>
                <w:sz w:val="17"/>
              </w:rPr>
              <w:t>Exclude</w:t>
            </w:r>
          </w:p>
        </w:tc>
        <w:tc>
          <w:tcPr>
            <w:tcW w:type="dxa" w:w="4464"/>
            <w:vAlign w:val="top"/>
            <w:tcBorders>
              <w:top w:val="single" w:sz="4" w:color="D8D2DE"/>
              <w:left w:val="single" w:sz="4" w:color="D8D2DE"/>
              <w:bottom w:val="single" w:sz="4" w:color="D8D2DE"/>
              <w:right w:val="single" w:sz="4" w:color="D8D2DE"/>
            </w:tcBorders>
          </w:tcPr>
          <w:p>
            <w:r>
              <w:rPr>
                <w:rFonts w:ascii="Aptos" w:hAnsi="Aptos"/>
                <w:sz w:val="17"/>
              </w:rPr>
              <w:t>The object was discovered through a relationship but is not part of the scoped system.</w:t>
            </w:r>
          </w:p>
        </w:tc>
        <w:tc>
          <w:tcPr>
            <w:tcW w:type="dxa" w:w="6048"/>
            <w:vAlign w:val="top"/>
            <w:tcBorders>
              <w:top w:val="single" w:sz="4" w:color="D8D2DE"/>
              <w:left w:val="single" w:sz="4" w:color="D8D2DE"/>
              <w:bottom w:val="single" w:sz="4" w:color="D8D2DE"/>
              <w:right w:val="single" w:sz="4" w:color="D8D2DE"/>
            </w:tcBorders>
          </w:tcPr>
          <w:p>
            <w:r>
              <w:rPr>
                <w:rFonts w:ascii="Aptos" w:hAnsi="Aptos"/>
                <w:sz w:val="17"/>
              </w:rPr>
              <w:t>Provide a specific rationale. Exclusions without rationale are blocked at confirmation.</w:t>
            </w:r>
          </w:p>
        </w:tc>
      </w:tr>
    </w:tbl>
    <w:p>
      <w:pPr>
        <w:spacing w:after="20"/>
      </w:pPr>
    </w:p>
    <w:p>
      <w:pPr>
        <w:pStyle w:val="Heading2"/>
      </w:pPr>
      <w:r>
        <w:rPr>
          <w:rFonts w:ascii="Aptos" w:hAnsi="Aptos"/>
          <w:b/>
          <w:color w:val="24152E"/>
          <w:sz w:val="28"/>
        </w:rPr>
        <w:t>7.4 Resolve data-quality and scoping gaps</w:t>
      </w:r>
    </w:p>
    <w:p>
      <w:pPr>
        <w:spacing w:after="100"/>
      </w:pPr>
      <w:r>
        <w:rPr>
          <w:rFonts w:ascii="Aptos" w:hAnsi="Aptos"/>
        </w:rPr>
        <w:t>The final confirmation endpoint recomputes the live boundary on the server. Browser counters are not trusted as the final gate. Blocking gaps and management-review gaps must be resolved before confirmation.</w:t>
      </w:r>
    </w:p>
    <w:p>
      <w:pPr>
        <w:pStyle w:val="ListBullet"/>
        <w:spacing w:after="40"/>
      </w:pPr>
      <w:r>
        <w:rPr>
          <w:rFonts w:ascii="Aptos" w:hAnsi="Aptos"/>
        </w:rPr>
        <w:t>A discovered asset that still needs a scope decision.</w:t>
      </w:r>
    </w:p>
    <w:p>
      <w:pPr>
        <w:pStyle w:val="ListBullet"/>
        <w:spacing w:after="40"/>
      </w:pPr>
      <w:r>
        <w:rPr>
          <w:rFonts w:ascii="Aptos" w:hAnsi="Aptos"/>
        </w:rPr>
        <w:t>An included third party that does not have a supporting service resolved.</w:t>
      </w:r>
    </w:p>
    <w:p>
      <w:pPr>
        <w:pStyle w:val="ListBullet"/>
        <w:spacing w:after="40"/>
      </w:pPr>
      <w:r>
        <w:rPr>
          <w:rFonts w:ascii="Aptos" w:hAnsi="Aptos"/>
        </w:rPr>
        <w:t>A scope-only item that needs a decision or a clearer relationship.</w:t>
      </w:r>
    </w:p>
    <w:p>
      <w:pPr>
        <w:pStyle w:val="ListBullet"/>
        <w:spacing w:after="40"/>
      </w:pPr>
      <w:r>
        <w:rPr>
          <w:rFonts w:ascii="Aptos" w:hAnsi="Aptos"/>
        </w:rPr>
        <w:t>An exclusion that lacks rationale.</w:t>
      </w:r>
    </w:p>
    <w:p>
      <w:pPr>
        <w:pStyle w:val="ListBullet"/>
        <w:spacing w:after="40"/>
      </w:pPr>
      <w:r>
        <w:rPr>
          <w:rFonts w:ascii="Aptos" w:hAnsi="Aptos"/>
        </w:rPr>
        <w:t>A relationship that changed after discovery and needs the scope to be re-run.</w:t>
      </w:r>
    </w:p>
    <w:tbl>
      <w:tblPr>
        <w:tblW w:type="auto" w:w="0"/>
        <w:jc w:val="center"/>
        <w:tblLayout w:type="autofit"/>
        <w:tblLook w:firstColumn="1" w:firstRow="1" w:lastColumn="0" w:lastRow="0" w:noHBand="0" w:noVBand="1" w:val="04A0"/>
      </w:tblPr>
      <w:tblGrid>
        <w:gridCol w:w="9994"/>
      </w:tblGrid>
      <w:tr>
        <w:tc>
          <w:tcPr>
            <w:tcW w:type="dxa" w:w="9994"/>
            <w:shd w:fill="FFF7E6"/>
            <w:tcBorders>
              <w:top w:val="nil"/>
              <w:left w:val="single" w:sz="18" w:color="A46400"/>
              <w:bottom w:val="nil"/>
              <w:right w:val="nil"/>
            </w:tcBorders>
          </w:tcPr>
          <w:p>
            <w:pPr>
              <w:spacing w:after="60"/>
            </w:pPr>
            <w:r>
              <w:rPr>
                <w:rFonts w:ascii="Aptos" w:hAnsi="Aptos"/>
                <w:b/>
                <w:color w:val="A46400"/>
                <w:sz w:val="21"/>
              </w:rPr>
              <w:t>Exit criterion for Step 2</w:t>
            </w:r>
          </w:p>
          <w:p>
            <w:pPr>
              <w:spacing w:after="0"/>
            </w:pPr>
            <w:r>
              <w:rPr>
                <w:rFonts w:ascii="Aptos" w:hAnsi="Aptos"/>
                <w:sz w:val="19"/>
              </w:rPr>
              <w:t>Do not proceed merely because the screen looks complete. The final gate expects zero blocking gaps and zero management-review gaps, and it rechecks the live scope at confirmation.</w:t>
            </w:r>
          </w:p>
        </w:tc>
      </w:tr>
    </w:tbl>
    <w:p>
      <w:pPr>
        <w:spacing w:after="20"/>
      </w:pPr>
    </w:p>
    <w:p>
      <w:r>
        <w:br w:type="page"/>
      </w:r>
    </w:p>
    <w:p>
      <w:pPr>
        <w:pStyle w:val="Heading1"/>
      </w:pPr>
      <w:r>
        <w:rPr>
          <w:rFonts w:ascii="Aptos" w:hAnsi="Aptos"/>
          <w:b/>
          <w:color w:val="4B0983"/>
          <w:sz w:val="38"/>
        </w:rPr>
        <w:t>8. Setup Step 3 - Engagement and system scope</w:t>
      </w:r>
    </w:p>
    <w:p>
      <w:pPr>
        <w:spacing w:after="100"/>
      </w:pPr>
      <w:r>
        <w:rPr>
          <w:rFonts w:ascii="Aptos" w:hAnsi="Aptos"/>
        </w:rPr>
        <w:t>Goal: describe the service and the intended examination in terms that management and the service auditor can understand, while carrying forward the reviewed system boundary from Step 2.</w:t>
      </w:r>
    </w:p>
    <w:p>
      <w:pPr>
        <w:jc w:val="center"/>
      </w:pPr>
      <w:r>
        <w:drawing>
          <wp:inline xmlns:a="http://schemas.openxmlformats.org/drawingml/2006/main" xmlns:pic="http://schemas.openxmlformats.org/drawingml/2006/picture">
            <wp:extent cx="6263640" cy="3805907"/>
            <wp:docPr id="4" name="Picture 4" descr="Figure 4. Illustrative engagement scope screen. Service description, report type/period, subservice decisions and CUECs are part of the completeness gate."/>
            <wp:cNvGraphicFramePr>
              <a:graphicFrameLocks noChangeAspect="1"/>
            </wp:cNvGraphicFramePr>
            <a:graphic>
              <a:graphicData uri="http://schemas.openxmlformats.org/drawingml/2006/picture">
                <pic:pic>
                  <pic:nvPicPr>
                    <pic:cNvPr id="0" name="04_engagement_scope.png"/>
                    <pic:cNvPicPr/>
                  </pic:nvPicPr>
                  <pic:blipFill>
                    <a:blip r:embed="rId14"/>
                    <a:stretch>
                      <a:fillRect/>
                    </a:stretch>
                  </pic:blipFill>
                  <pic:spPr>
                    <a:xfrm>
                      <a:off x="0" y="0"/>
                      <a:ext cx="6263640" cy="3805907"/>
                    </a:xfrm>
                    <a:prstGeom prst="rect"/>
                  </pic:spPr>
                </pic:pic>
              </a:graphicData>
            </a:graphic>
          </wp:inline>
        </w:drawing>
      </w:r>
    </w:p>
    <w:p>
      <w:pPr>
        <w:spacing w:after="160"/>
        <w:jc w:val="center"/>
      </w:pPr>
      <w:r>
        <w:rPr>
          <w:rFonts w:ascii="Aptos" w:hAnsi="Aptos"/>
          <w:i/>
          <w:color w:val="6B6470"/>
          <w:sz w:val="17"/>
        </w:rPr>
        <w:t>Figure 4. Illustrative engagement scope screen. Service description, report type/period, subservice decisions and CUECs are part of the completeness gate.</w:t>
      </w:r>
    </w:p>
    <w:p>
      <w:pPr>
        <w:pStyle w:val="Heading2"/>
      </w:pPr>
      <w:r>
        <w:rPr>
          <w:rFonts w:ascii="Aptos" w:hAnsi="Aptos"/>
          <w:b/>
          <w:color w:val="24152E"/>
          <w:sz w:val="28"/>
        </w:rPr>
        <w:t>8.1 Describe the service</w:t>
      </w:r>
    </w:p>
    <w:tbl>
      <w:tblPr>
        <w:tblStyle w:val="TableGrid"/>
        <w:tblW w:type="auto" w:w="0"/>
        <w:jc w:val="center"/>
        <w:tblLook w:firstColumn="1" w:firstRow="1" w:lastColumn="0" w:lastRow="0" w:noHBand="0" w:noVBand="1" w:val="04A0"/>
      </w:tblPr>
      <w:tblGrid>
        <w:gridCol w:w="4997"/>
        <w:gridCol w:w="4997"/>
      </w:tblGrid>
      <w:tr>
        <w:tc>
          <w:tcPr>
            <w:tcW w:type="dxa" w:w="2808"/>
            <w:shd w:fill="4B0983"/>
            <w:vAlign w:val="center"/>
          </w:tcPr>
          <w:p>
            <w:pPr>
              <w:jc w:val="left"/>
            </w:pPr>
            <w:r>
              <w:rPr>
                <w:rFonts w:ascii="Aptos" w:hAnsi="Aptos"/>
                <w:b/>
                <w:color w:val="FFFFFF"/>
                <w:sz w:val="17"/>
              </w:rPr>
              <w:t>Field</w:t>
            </w:r>
          </w:p>
        </w:tc>
        <w:tc>
          <w:tcPr>
            <w:tcW w:type="dxa" w:w="7992"/>
            <w:shd w:fill="4B0983"/>
            <w:vAlign w:val="center"/>
          </w:tcPr>
          <w:p>
            <w:pPr>
              <w:jc w:val="left"/>
            </w:pPr>
            <w:r>
              <w:rPr>
                <w:rFonts w:ascii="Aptos" w:hAnsi="Aptos"/>
                <w:b/>
                <w:color w:val="FFFFFF"/>
                <w:sz w:val="17"/>
              </w:rPr>
              <w:t>How to complete it</w:t>
            </w:r>
          </w:p>
        </w:tc>
      </w:tr>
      <w:tr>
        <w:tc>
          <w:tcPr>
            <w:tcW w:type="dxa" w:w="2808"/>
            <w:vAlign w:val="top"/>
            <w:tcBorders>
              <w:top w:val="single" w:sz="4" w:color="D8D2DE"/>
              <w:left w:val="single" w:sz="4" w:color="D8D2DE"/>
              <w:bottom w:val="single" w:sz="4" w:color="D8D2DE"/>
              <w:right w:val="single" w:sz="4" w:color="D8D2DE"/>
            </w:tcBorders>
          </w:tcPr>
          <w:p>
            <w:r>
              <w:rPr>
                <w:rFonts w:ascii="Aptos" w:hAnsi="Aptos"/>
                <w:sz w:val="17"/>
              </w:rPr>
              <w:t>Service / system name *</w:t>
            </w:r>
          </w:p>
        </w:tc>
        <w:tc>
          <w:tcPr>
            <w:tcW w:type="dxa" w:w="7992"/>
            <w:vAlign w:val="top"/>
            <w:tcBorders>
              <w:top w:val="single" w:sz="4" w:color="D8D2DE"/>
              <w:left w:val="single" w:sz="4" w:color="D8D2DE"/>
              <w:bottom w:val="single" w:sz="4" w:color="D8D2DE"/>
              <w:right w:val="single" w:sz="4" w:color="D8D2DE"/>
            </w:tcBorders>
          </w:tcPr>
          <w:p>
            <w:r>
              <w:rPr>
                <w:rFonts w:ascii="Aptos" w:hAnsi="Aptos"/>
                <w:sz w:val="17"/>
              </w:rPr>
              <w:t>Use the name stakeholders recognise. Avoid an internal project nickname if customers know the service by another name.</w:t>
            </w:r>
          </w:p>
        </w:tc>
      </w:tr>
      <w:tr>
        <w:tc>
          <w:tcPr>
            <w:tcW w:type="dxa" w:w="2808"/>
            <w:vAlign w:val="top"/>
            <w:tcBorders>
              <w:top w:val="single" w:sz="4" w:color="D8D2DE"/>
              <w:left w:val="single" w:sz="4" w:color="D8D2DE"/>
              <w:bottom w:val="single" w:sz="4" w:color="D8D2DE"/>
              <w:right w:val="single" w:sz="4" w:color="D8D2DE"/>
            </w:tcBorders>
          </w:tcPr>
          <w:p>
            <w:r>
              <w:rPr>
                <w:rFonts w:ascii="Aptos" w:hAnsi="Aptos"/>
                <w:sz w:val="17"/>
              </w:rPr>
              <w:t>Management owner / accountable function</w:t>
            </w:r>
          </w:p>
        </w:tc>
        <w:tc>
          <w:tcPr>
            <w:tcW w:type="dxa" w:w="7992"/>
            <w:vAlign w:val="top"/>
            <w:tcBorders>
              <w:top w:val="single" w:sz="4" w:color="D8D2DE"/>
              <w:left w:val="single" w:sz="4" w:color="D8D2DE"/>
              <w:bottom w:val="single" w:sz="4" w:color="D8D2DE"/>
              <w:right w:val="single" w:sz="4" w:color="D8D2DE"/>
            </w:tcBorders>
          </w:tcPr>
          <w:p>
            <w:r>
              <w:rPr>
                <w:rFonts w:ascii="Aptos" w:hAnsi="Aptos"/>
                <w:sz w:val="17"/>
              </w:rPr>
              <w:t>Choose the accountable user or organisation role where available.</w:t>
            </w:r>
          </w:p>
        </w:tc>
      </w:tr>
      <w:tr>
        <w:tc>
          <w:tcPr>
            <w:tcW w:type="dxa" w:w="2808"/>
            <w:vAlign w:val="top"/>
            <w:tcBorders>
              <w:top w:val="single" w:sz="4" w:color="D8D2DE"/>
              <w:left w:val="single" w:sz="4" w:color="D8D2DE"/>
              <w:bottom w:val="single" w:sz="4" w:color="D8D2DE"/>
              <w:right w:val="single" w:sz="4" w:color="D8D2DE"/>
            </w:tcBorders>
          </w:tcPr>
          <w:p>
            <w:r>
              <w:rPr>
                <w:rFonts w:ascii="Aptos" w:hAnsi="Aptos"/>
                <w:sz w:val="17"/>
              </w:rPr>
              <w:t>Service description *</w:t>
            </w:r>
          </w:p>
        </w:tc>
        <w:tc>
          <w:tcPr>
            <w:tcW w:type="dxa" w:w="7992"/>
            <w:vAlign w:val="top"/>
            <w:tcBorders>
              <w:top w:val="single" w:sz="4" w:color="D8D2DE"/>
              <w:left w:val="single" w:sz="4" w:color="D8D2DE"/>
              <w:bottom w:val="single" w:sz="4" w:color="D8D2DE"/>
              <w:right w:val="single" w:sz="4" w:color="D8D2DE"/>
            </w:tcBorders>
          </w:tcPr>
          <w:p>
            <w:r>
              <w:rPr>
                <w:rFonts w:ascii="Aptos" w:hAnsi="Aptos"/>
                <w:sz w:val="17"/>
              </w:rPr>
              <w:t>Describe what the service does, the main user/customer interaction, major processing/components, and the system being put forward for examination.</w:t>
            </w:r>
          </w:p>
        </w:tc>
      </w:tr>
      <w:tr>
        <w:tc>
          <w:tcPr>
            <w:tcW w:type="dxa" w:w="2808"/>
            <w:vAlign w:val="top"/>
            <w:tcBorders>
              <w:top w:val="single" w:sz="4" w:color="D8D2DE"/>
              <w:left w:val="single" w:sz="4" w:color="D8D2DE"/>
              <w:bottom w:val="single" w:sz="4" w:color="D8D2DE"/>
              <w:right w:val="single" w:sz="4" w:color="D8D2DE"/>
            </w:tcBorders>
          </w:tcPr>
          <w:p>
            <w:r>
              <w:rPr>
                <w:rFonts w:ascii="Aptos" w:hAnsi="Aptos"/>
                <w:sz w:val="17"/>
              </w:rPr>
              <w:t>Customer / service commitments and system requirements *</w:t>
            </w:r>
          </w:p>
        </w:tc>
        <w:tc>
          <w:tcPr>
            <w:tcW w:type="dxa" w:w="7992"/>
            <w:vAlign w:val="top"/>
            <w:tcBorders>
              <w:top w:val="single" w:sz="4" w:color="D8D2DE"/>
              <w:left w:val="single" w:sz="4" w:color="D8D2DE"/>
              <w:bottom w:val="single" w:sz="4" w:color="D8D2DE"/>
              <w:right w:val="single" w:sz="4" w:color="D8D2DE"/>
            </w:tcBorders>
          </w:tcPr>
          <w:p>
            <w:r>
              <w:rPr>
                <w:rFonts w:ascii="Aptos" w:hAnsi="Aptos"/>
                <w:sz w:val="17"/>
              </w:rPr>
              <w:t>Describe promises and requirements that drive control design: security commitments, availability targets, confidentiality handling, processing obligations, privacy commitments, etc.</w:t>
            </w:r>
          </w:p>
        </w:tc>
      </w:tr>
      <w:tr>
        <w:tc>
          <w:tcPr>
            <w:tcW w:type="dxa" w:w="2808"/>
            <w:vAlign w:val="top"/>
            <w:tcBorders>
              <w:top w:val="single" w:sz="4" w:color="D8D2DE"/>
              <w:left w:val="single" w:sz="4" w:color="D8D2DE"/>
              <w:bottom w:val="single" w:sz="4" w:color="D8D2DE"/>
              <w:right w:val="single" w:sz="4" w:color="D8D2DE"/>
            </w:tcBorders>
          </w:tcPr>
          <w:p>
            <w:r>
              <w:rPr>
                <w:rFonts w:ascii="Aptos" w:hAnsi="Aptos"/>
                <w:sz w:val="17"/>
              </w:rPr>
              <w:t>Commitment sources / references</w:t>
            </w:r>
          </w:p>
        </w:tc>
        <w:tc>
          <w:tcPr>
            <w:tcW w:type="dxa" w:w="7992"/>
            <w:vAlign w:val="top"/>
            <w:tcBorders>
              <w:top w:val="single" w:sz="4" w:color="D8D2DE"/>
              <w:left w:val="single" w:sz="4" w:color="D8D2DE"/>
              <w:bottom w:val="single" w:sz="4" w:color="D8D2DE"/>
              <w:right w:val="single" w:sz="4" w:color="D8D2DE"/>
            </w:tcBorders>
          </w:tcPr>
          <w:p>
            <w:r>
              <w:rPr>
                <w:rFonts w:ascii="Aptos" w:hAnsi="Aptos"/>
                <w:sz w:val="17"/>
              </w:rPr>
              <w:t>Reference contracts, SLAs, policy statements, terms, architecture requirements or other sources used to derive the commitments.</w:t>
            </w:r>
          </w:p>
        </w:tc>
      </w:tr>
    </w:tbl>
    <w:p>
      <w:pPr>
        <w:spacing w:after="20"/>
      </w:pPr>
    </w:p>
    <w:p>
      <w:pPr>
        <w:pStyle w:val="Heading2"/>
      </w:pPr>
      <w:r>
        <w:rPr>
          <w:rFonts w:ascii="Aptos" w:hAnsi="Aptos"/>
          <w:b/>
          <w:color w:val="24152E"/>
          <w:sz w:val="28"/>
        </w:rPr>
        <w:t>8.2 Identify intended report users</w:t>
      </w:r>
    </w:p>
    <w:p>
      <w:pPr>
        <w:spacing w:after="100"/>
      </w:pPr>
      <w:r>
        <w:rPr>
          <w:rFonts w:ascii="Aptos" w:hAnsi="Aptos"/>
        </w:rPr>
        <w:t>PurpleWASP requires at least one intended-user group or a populated "Other intended users" field. The allowed groups in the current confirmation logic include existing customers, prospective customers, customer auditors, regulators, business partners and internal governance.</w:t>
      </w:r>
    </w:p>
    <w:p>
      <w:pPr>
        <w:pStyle w:val="Heading2"/>
      </w:pPr>
      <w:r>
        <w:rPr>
          <w:rFonts w:ascii="Aptos" w:hAnsi="Aptos"/>
          <w:b/>
          <w:color w:val="24152E"/>
          <w:sz w:val="28"/>
        </w:rPr>
        <w:t>8.3 Choose Type I or Type II and dates</w:t>
      </w:r>
    </w:p>
    <w:p>
      <w:pPr>
        <w:spacing w:after="80"/>
        <w:ind w:left="259" w:hanging="259"/>
      </w:pPr>
      <w:r>
        <w:rPr>
          <w:rFonts w:ascii="Aptos" w:hAnsi="Aptos"/>
          <w:b/>
          <w:color w:val="4B0983"/>
        </w:rPr>
        <w:t xml:space="preserve">1. </w:t>
      </w:r>
      <w:r>
        <w:rPr>
          <w:rFonts w:ascii="Aptos" w:hAnsi="Aptos"/>
          <w:b/>
        </w:rPr>
        <w:t xml:space="preserve">Choose Type I or Type II. </w:t>
      </w:r>
      <w:r>
        <w:rPr>
          <w:rFonts w:ascii="Aptos" w:hAnsi="Aptos"/>
        </w:rPr>
        <w:t>"Undecided" is available while planning, but final confirmation requires Type I or Type II.</w:t>
      </w:r>
    </w:p>
    <w:p>
      <w:pPr>
        <w:spacing w:after="80"/>
        <w:ind w:left="259" w:hanging="259"/>
      </w:pPr>
      <w:r>
        <w:rPr>
          <w:rFonts w:ascii="Aptos" w:hAnsi="Aptos"/>
          <w:b/>
          <w:color w:val="4B0983"/>
        </w:rPr>
        <w:t xml:space="preserve">2. </w:t>
      </w:r>
      <w:r>
        <w:rPr>
          <w:rFonts w:ascii="Aptos" w:hAnsi="Aptos"/>
          <w:b/>
        </w:rPr>
        <w:t xml:space="preserve">For Type I, enter the as-of date. </w:t>
      </w:r>
      <w:r>
        <w:rPr>
          <w:rFonts w:ascii="Aptos" w:hAnsi="Aptos"/>
        </w:rPr>
        <w:t>The current confirmation gate requires the date.</w:t>
      </w:r>
    </w:p>
    <w:p>
      <w:pPr>
        <w:spacing w:after="80"/>
        <w:ind w:left="259" w:hanging="259"/>
      </w:pPr>
      <w:r>
        <w:rPr>
          <w:rFonts w:ascii="Aptos" w:hAnsi="Aptos"/>
          <w:b/>
          <w:color w:val="4B0983"/>
        </w:rPr>
        <w:t xml:space="preserve">3. </w:t>
      </w:r>
      <w:r>
        <w:rPr>
          <w:rFonts w:ascii="Aptos" w:hAnsi="Aptos"/>
          <w:b/>
        </w:rPr>
        <w:t xml:space="preserve">For Type II, enter observation-period start and end. </w:t>
      </w:r>
      <w:r>
        <w:rPr>
          <w:rFonts w:ascii="Aptos" w:hAnsi="Aptos"/>
        </w:rPr>
        <w:t>The start cannot be after the end.</w:t>
      </w:r>
    </w:p>
    <w:p>
      <w:pPr>
        <w:spacing w:after="80"/>
        <w:ind w:left="259" w:hanging="259"/>
      </w:pPr>
      <w:r>
        <w:rPr>
          <w:rFonts w:ascii="Aptos" w:hAnsi="Aptos"/>
          <w:b/>
          <w:color w:val="4B0983"/>
        </w:rPr>
        <w:t xml:space="preserve">4. </w:t>
      </w:r>
      <w:r>
        <w:rPr>
          <w:rFonts w:ascii="Aptos" w:hAnsi="Aptos"/>
          <w:b/>
        </w:rPr>
        <w:t xml:space="preserve">Optionally enter a target report/examination date. </w:t>
      </w:r>
      <w:r>
        <w:rPr>
          <w:rFonts w:ascii="Aptos" w:hAnsi="Aptos"/>
        </w:rPr>
        <w:t>Use this for programme planning; it is not the same as the Type II observation period.</w:t>
      </w:r>
    </w:p>
    <w:p>
      <w:pPr>
        <w:pStyle w:val="Heading2"/>
      </w:pPr>
      <w:r>
        <w:rPr>
          <w:rFonts w:ascii="Aptos" w:hAnsi="Aptos"/>
          <w:b/>
          <w:color w:val="24152E"/>
          <w:sz w:val="28"/>
        </w:rPr>
        <w:t>8.4 Review potential subservice organisations</w:t>
      </w:r>
    </w:p>
    <w:p>
      <w:pPr>
        <w:spacing w:after="100"/>
      </w:pPr>
      <w:r>
        <w:rPr>
          <w:rFonts w:ascii="Aptos" w:hAnsi="Aptos"/>
        </w:rPr>
        <w:t>For each included/review third party carried from Step 2, first ensure a supporting service has been resolved. Then choose a treatment and write the rationale. The current options are: Subservice organisation - carve-out method; Subservice organisation - inclusive method; Not treated as a subservice organisation; or Undecided while planning. Final readiness for Step 3 does not accept unresolved treatment/rationale.</w:t>
      </w:r>
    </w:p>
    <w:tbl>
      <w:tblPr>
        <w:tblW w:type="auto" w:w="0"/>
        <w:jc w:val="center"/>
        <w:tblLayout w:type="autofit"/>
        <w:tblLook w:firstColumn="1" w:firstRow="1" w:lastColumn="0" w:lastRow="0" w:noHBand="0" w:noVBand="1" w:val="04A0"/>
      </w:tblPr>
      <w:tblGrid>
        <w:gridCol w:w="9994"/>
      </w:tblGrid>
      <w:tr>
        <w:tc>
          <w:tcPr>
            <w:tcW w:type="dxa" w:w="9994"/>
            <w:shd w:fill="FFF7E6"/>
            <w:tcBorders>
              <w:top w:val="nil"/>
              <w:left w:val="single" w:sz="18" w:color="A46400"/>
              <w:bottom w:val="nil"/>
              <w:right w:val="nil"/>
            </w:tcBorders>
          </w:tcPr>
          <w:p>
            <w:pPr>
              <w:spacing w:after="60"/>
            </w:pPr>
            <w:r>
              <w:rPr>
                <w:rFonts w:ascii="Aptos" w:hAnsi="Aptos"/>
                <w:b/>
                <w:color w:val="A46400"/>
                <w:sz w:val="21"/>
              </w:rPr>
              <w:t>Do not let PurpleWASP make the judgement for you.</w:t>
            </w:r>
          </w:p>
          <w:p>
            <w:pPr>
              <w:spacing w:after="0"/>
            </w:pPr>
            <w:r>
              <w:rPr>
                <w:rFonts w:ascii="Aptos" w:hAnsi="Aptos"/>
                <w:sz w:val="19"/>
              </w:rPr>
              <w:t>The product can explain why the provider was discovered, but management and the service auditor must decide whether it is a subservice organisation and whether carve-out or inclusive treatment is appropriate.</w:t>
            </w:r>
          </w:p>
        </w:tc>
      </w:tr>
    </w:tbl>
    <w:p>
      <w:pPr>
        <w:spacing w:after="20"/>
      </w:pPr>
    </w:p>
    <w:p>
      <w:pPr>
        <w:pStyle w:val="Heading2"/>
      </w:pPr>
      <w:r>
        <w:rPr>
          <w:rFonts w:ascii="Aptos" w:hAnsi="Aptos"/>
          <w:b/>
          <w:color w:val="24152E"/>
          <w:sz w:val="28"/>
        </w:rPr>
        <w:t>8.5 Define CUECs</w:t>
      </w:r>
    </w:p>
    <w:p>
      <w:pPr>
        <w:spacing w:after="80"/>
        <w:ind w:left="259" w:hanging="259"/>
      </w:pPr>
      <w:r>
        <w:rPr>
          <w:rFonts w:ascii="Aptos" w:hAnsi="Aptos"/>
          <w:b/>
          <w:color w:val="4B0983"/>
        </w:rPr>
        <w:t xml:space="preserve">1. </w:t>
      </w:r>
      <w:r>
        <w:rPr>
          <w:rFonts w:ascii="Aptos" w:hAnsi="Aptos"/>
          <w:b/>
        </w:rPr>
        <w:t xml:space="preserve">Decide whether CUECs apply. </w:t>
      </w:r>
      <w:r>
        <w:rPr>
          <w:rFonts w:ascii="Aptos" w:hAnsi="Aptos"/>
        </w:rPr>
        <w:t>Final confirmation requires Yes or No; Undecided is a planning state only.</w:t>
      </w:r>
    </w:p>
    <w:p>
      <w:pPr>
        <w:spacing w:after="80"/>
        <w:ind w:left="259" w:hanging="259"/>
      </w:pPr>
      <w:r>
        <w:rPr>
          <w:rFonts w:ascii="Aptos" w:hAnsi="Aptos"/>
          <w:b/>
          <w:color w:val="4B0983"/>
        </w:rPr>
        <w:t xml:space="preserve">2. </w:t>
      </w:r>
      <w:r>
        <w:rPr>
          <w:rFonts w:ascii="Aptos" w:hAnsi="Aptos"/>
          <w:b/>
        </w:rPr>
        <w:t xml:space="preserve">If Yes, add at least one complete CUEC. </w:t>
      </w:r>
      <w:r>
        <w:rPr>
          <w:rFonts w:ascii="Aptos" w:hAnsi="Aptos"/>
        </w:rPr>
        <w:t>Each CUEC needs a customer/user-entity responsibility title and description.</w:t>
      </w:r>
    </w:p>
    <w:p>
      <w:pPr>
        <w:spacing w:after="80"/>
        <w:ind w:left="259" w:hanging="259"/>
      </w:pPr>
      <w:r>
        <w:rPr>
          <w:rFonts w:ascii="Aptos" w:hAnsi="Aptos"/>
          <w:b/>
          <w:color w:val="4B0983"/>
        </w:rPr>
        <w:t xml:space="preserve">3. </w:t>
      </w:r>
      <w:r>
        <w:rPr>
          <w:rFonts w:ascii="Aptos" w:hAnsi="Aptos"/>
          <w:b/>
        </w:rPr>
        <w:t xml:space="preserve">Associate the CUEC with relevant selected categories. </w:t>
      </w:r>
      <w:r>
        <w:rPr>
          <w:rFonts w:ascii="Aptos" w:hAnsi="Aptos"/>
        </w:rPr>
        <w:t>This helps keep the responsibility tied to the scope it supports.</w:t>
      </w:r>
    </w:p>
    <w:p>
      <w:pPr>
        <w:spacing w:after="80"/>
        <w:ind w:left="259" w:hanging="259"/>
      </w:pPr>
      <w:r>
        <w:rPr>
          <w:rFonts w:ascii="Aptos" w:hAnsi="Aptos"/>
          <w:b/>
          <w:color w:val="4B0983"/>
        </w:rPr>
        <w:t xml:space="preserve">4. </w:t>
      </w:r>
      <w:r>
        <w:rPr>
          <w:rFonts w:ascii="Aptos" w:hAnsi="Aptos"/>
          <w:b/>
        </w:rPr>
        <w:t xml:space="preserve">Write responsibilities as actions the customer must perform. </w:t>
      </w:r>
      <w:r>
        <w:rPr>
          <w:rFonts w:ascii="Aptos" w:hAnsi="Aptos"/>
        </w:rPr>
        <w:t>For example, promptly removing access for terminated personnel is clearer than "customers must be secure."</w:t>
      </w:r>
    </w:p>
    <w:p>
      <w:pPr>
        <w:pStyle w:val="Heading2"/>
      </w:pPr>
      <w:r>
        <w:rPr>
          <w:rFonts w:ascii="Aptos" w:hAnsi="Aptos"/>
          <w:b/>
          <w:color w:val="24152E"/>
          <w:sz w:val="28"/>
        </w:rPr>
        <w:t>8.6 Significant changes and criterion exclusions</w:t>
      </w:r>
    </w:p>
    <w:p>
      <w:pPr>
        <w:spacing w:after="100"/>
      </w:pPr>
      <w:r>
        <w:rPr>
          <w:rFonts w:ascii="Aptos" w:hAnsi="Aptos"/>
        </w:rPr>
        <w:t>For both significant changes and criterion-exclusion planning, final confirmation expects an explicit Yes or No. If Yes, PurpleWASP requires details. A proposed criterion exclusion is a planning record for final auditor validation; it is not an automatic removal of a criterion merely because management prefers not to address it.</w:t>
      </w:r>
    </w:p>
    <w:p>
      <w:pPr>
        <w:pStyle w:val="Heading2"/>
      </w:pPr>
      <w:r>
        <w:rPr>
          <w:rFonts w:ascii="Aptos" w:hAnsi="Aptos"/>
          <w:b/>
          <w:color w:val="24152E"/>
          <w:sz w:val="28"/>
        </w:rPr>
        <w:t>8.7 Run the completeness check</w:t>
      </w:r>
    </w:p>
    <w:tbl>
      <w:tblPr>
        <w:tblStyle w:val="TableGrid"/>
        <w:tblW w:type="auto" w:w="0"/>
        <w:jc w:val="center"/>
        <w:tblLook w:firstColumn="1" w:firstRow="1" w:lastColumn="0" w:lastRow="0" w:noHBand="0" w:noVBand="1" w:val="04A0"/>
      </w:tblPr>
      <w:tblGrid>
        <w:gridCol w:w="4997"/>
        <w:gridCol w:w="4997"/>
      </w:tblGrid>
      <w:tr>
        <w:tc>
          <w:tcPr>
            <w:tcW w:type="dxa" w:w="3024"/>
            <w:shd w:fill="4B0983"/>
            <w:vAlign w:val="center"/>
          </w:tcPr>
          <w:p>
            <w:pPr>
              <w:jc w:val="left"/>
            </w:pPr>
            <w:r>
              <w:rPr>
                <w:rFonts w:ascii="Aptos" w:hAnsi="Aptos"/>
                <w:b/>
                <w:color w:val="FFFFFF"/>
                <w:sz w:val="17"/>
              </w:rPr>
              <w:t>Completeness row</w:t>
            </w:r>
          </w:p>
        </w:tc>
        <w:tc>
          <w:tcPr>
            <w:tcW w:type="dxa" w:w="7776"/>
            <w:shd w:fill="4B0983"/>
            <w:vAlign w:val="center"/>
          </w:tcPr>
          <w:p>
            <w:pPr>
              <w:jc w:val="left"/>
            </w:pPr>
            <w:r>
              <w:rPr>
                <w:rFonts w:ascii="Aptos" w:hAnsi="Aptos"/>
                <w:b/>
                <w:color w:val="FFFFFF"/>
                <w:sz w:val="17"/>
              </w:rPr>
              <w:t>What must be true</w:t>
            </w:r>
          </w:p>
        </w:tc>
      </w:tr>
      <w:tr>
        <w:tc>
          <w:tcPr>
            <w:tcW w:type="dxa" w:w="3024"/>
            <w:vAlign w:val="top"/>
            <w:tcBorders>
              <w:top w:val="single" w:sz="4" w:color="D8D2DE"/>
              <w:left w:val="single" w:sz="4" w:color="D8D2DE"/>
              <w:bottom w:val="single" w:sz="4" w:color="D8D2DE"/>
              <w:right w:val="single" w:sz="4" w:color="D8D2DE"/>
            </w:tcBorders>
          </w:tcPr>
          <w:p>
            <w:r>
              <w:rPr>
                <w:rFonts w:ascii="Aptos" w:hAnsi="Aptos"/>
                <w:sz w:val="17"/>
              </w:rPr>
              <w:t>Step 2 system boundary</w:t>
            </w:r>
          </w:p>
        </w:tc>
        <w:tc>
          <w:tcPr>
            <w:tcW w:type="dxa" w:w="7776"/>
            <w:vAlign w:val="top"/>
            <w:tcBorders>
              <w:top w:val="single" w:sz="4" w:color="D8D2DE"/>
              <w:left w:val="single" w:sz="4" w:color="D8D2DE"/>
              <w:bottom w:val="single" w:sz="4" w:color="D8D2DE"/>
              <w:right w:val="single" w:sz="4" w:color="D8D2DE"/>
            </w:tcBorders>
          </w:tcPr>
          <w:p>
            <w:r>
              <w:rPr>
                <w:rFonts w:ascii="Aptos" w:hAnsi="Aptos"/>
                <w:sz w:val="17"/>
              </w:rPr>
              <w:t>No blocking/review boundary gaps remain.</w:t>
            </w:r>
          </w:p>
        </w:tc>
      </w:tr>
      <w:tr>
        <w:tc>
          <w:tcPr>
            <w:tcW w:type="dxa" w:w="3024"/>
            <w:vAlign w:val="top"/>
            <w:tcBorders>
              <w:top w:val="single" w:sz="4" w:color="D8D2DE"/>
              <w:left w:val="single" w:sz="4" w:color="D8D2DE"/>
              <w:bottom w:val="single" w:sz="4" w:color="D8D2DE"/>
              <w:right w:val="single" w:sz="4" w:color="D8D2DE"/>
            </w:tcBorders>
          </w:tcPr>
          <w:p>
            <w:r>
              <w:rPr>
                <w:rFonts w:ascii="Aptos" w:hAnsi="Aptos"/>
                <w:sz w:val="17"/>
              </w:rPr>
              <w:t>Service description &amp; commitments</w:t>
            </w:r>
          </w:p>
        </w:tc>
        <w:tc>
          <w:tcPr>
            <w:tcW w:type="dxa" w:w="7776"/>
            <w:vAlign w:val="top"/>
            <w:tcBorders>
              <w:top w:val="single" w:sz="4" w:color="D8D2DE"/>
              <w:left w:val="single" w:sz="4" w:color="D8D2DE"/>
              <w:bottom w:val="single" w:sz="4" w:color="D8D2DE"/>
              <w:right w:val="single" w:sz="4" w:color="D8D2DE"/>
            </w:tcBorders>
          </w:tcPr>
          <w:p>
            <w:r>
              <w:rPr>
                <w:rFonts w:ascii="Aptos" w:hAnsi="Aptos"/>
                <w:sz w:val="17"/>
              </w:rPr>
              <w:t>Service name, description and commitments are populated.</w:t>
            </w:r>
          </w:p>
        </w:tc>
      </w:tr>
      <w:tr>
        <w:tc>
          <w:tcPr>
            <w:tcW w:type="dxa" w:w="3024"/>
            <w:vAlign w:val="top"/>
            <w:tcBorders>
              <w:top w:val="single" w:sz="4" w:color="D8D2DE"/>
              <w:left w:val="single" w:sz="4" w:color="D8D2DE"/>
              <w:bottom w:val="single" w:sz="4" w:color="D8D2DE"/>
              <w:right w:val="single" w:sz="4" w:color="D8D2DE"/>
            </w:tcBorders>
          </w:tcPr>
          <w:p>
            <w:r>
              <w:rPr>
                <w:rFonts w:ascii="Aptos" w:hAnsi="Aptos"/>
                <w:sz w:val="17"/>
              </w:rPr>
              <w:t>Intended report users</w:t>
            </w:r>
          </w:p>
        </w:tc>
        <w:tc>
          <w:tcPr>
            <w:tcW w:type="dxa" w:w="7776"/>
            <w:vAlign w:val="top"/>
            <w:tcBorders>
              <w:top w:val="single" w:sz="4" w:color="D8D2DE"/>
              <w:left w:val="single" w:sz="4" w:color="D8D2DE"/>
              <w:bottom w:val="single" w:sz="4" w:color="D8D2DE"/>
              <w:right w:val="single" w:sz="4" w:color="D8D2DE"/>
            </w:tcBorders>
          </w:tcPr>
          <w:p>
            <w:r>
              <w:rPr>
                <w:rFonts w:ascii="Aptos" w:hAnsi="Aptos"/>
                <w:sz w:val="17"/>
              </w:rPr>
              <w:t>At least one group or other-user description is populated.</w:t>
            </w:r>
          </w:p>
        </w:tc>
      </w:tr>
      <w:tr>
        <w:tc>
          <w:tcPr>
            <w:tcW w:type="dxa" w:w="3024"/>
            <w:vAlign w:val="top"/>
            <w:tcBorders>
              <w:top w:val="single" w:sz="4" w:color="D8D2DE"/>
              <w:left w:val="single" w:sz="4" w:color="D8D2DE"/>
              <w:bottom w:val="single" w:sz="4" w:color="D8D2DE"/>
              <w:right w:val="single" w:sz="4" w:color="D8D2DE"/>
            </w:tcBorders>
          </w:tcPr>
          <w:p>
            <w:r>
              <w:rPr>
                <w:rFonts w:ascii="Aptos" w:hAnsi="Aptos"/>
                <w:sz w:val="17"/>
              </w:rPr>
              <w:t>Examination type &amp; period</w:t>
            </w:r>
          </w:p>
        </w:tc>
        <w:tc>
          <w:tcPr>
            <w:tcW w:type="dxa" w:w="7776"/>
            <w:vAlign w:val="top"/>
            <w:tcBorders>
              <w:top w:val="single" w:sz="4" w:color="D8D2DE"/>
              <w:left w:val="single" w:sz="4" w:color="D8D2DE"/>
              <w:bottom w:val="single" w:sz="4" w:color="D8D2DE"/>
              <w:right w:val="single" w:sz="4" w:color="D8D2DE"/>
            </w:tcBorders>
          </w:tcPr>
          <w:p>
            <w:r>
              <w:rPr>
                <w:rFonts w:ascii="Aptos" w:hAnsi="Aptos"/>
                <w:sz w:val="17"/>
              </w:rPr>
              <w:t>Type I with as-of date, or Type II with valid start/end.</w:t>
            </w:r>
          </w:p>
        </w:tc>
      </w:tr>
      <w:tr>
        <w:tc>
          <w:tcPr>
            <w:tcW w:type="dxa" w:w="3024"/>
            <w:vAlign w:val="top"/>
            <w:tcBorders>
              <w:top w:val="single" w:sz="4" w:color="D8D2DE"/>
              <w:left w:val="single" w:sz="4" w:color="D8D2DE"/>
              <w:bottom w:val="single" w:sz="4" w:color="D8D2DE"/>
              <w:right w:val="single" w:sz="4" w:color="D8D2DE"/>
            </w:tcBorders>
          </w:tcPr>
          <w:p>
            <w:r>
              <w:rPr>
                <w:rFonts w:ascii="Aptos" w:hAnsi="Aptos"/>
                <w:sz w:val="17"/>
              </w:rPr>
              <w:t>Subservice treatment</w:t>
            </w:r>
          </w:p>
        </w:tc>
        <w:tc>
          <w:tcPr>
            <w:tcW w:type="dxa" w:w="7776"/>
            <w:vAlign w:val="top"/>
            <w:tcBorders>
              <w:top w:val="single" w:sz="4" w:color="D8D2DE"/>
              <w:left w:val="single" w:sz="4" w:color="D8D2DE"/>
              <w:bottom w:val="single" w:sz="4" w:color="D8D2DE"/>
              <w:right w:val="single" w:sz="4" w:color="D8D2DE"/>
            </w:tcBorders>
          </w:tcPr>
          <w:p>
            <w:r>
              <w:rPr>
                <w:rFonts w:ascii="Aptos" w:hAnsi="Aptos"/>
                <w:sz w:val="17"/>
              </w:rPr>
              <w:t>Every relevant provider has a resolved service, treatment and rationale.</w:t>
            </w:r>
          </w:p>
        </w:tc>
      </w:tr>
      <w:tr>
        <w:tc>
          <w:tcPr>
            <w:tcW w:type="dxa" w:w="3024"/>
            <w:vAlign w:val="top"/>
            <w:tcBorders>
              <w:top w:val="single" w:sz="4" w:color="D8D2DE"/>
              <w:left w:val="single" w:sz="4" w:color="D8D2DE"/>
              <w:bottom w:val="single" w:sz="4" w:color="D8D2DE"/>
              <w:right w:val="single" w:sz="4" w:color="D8D2DE"/>
            </w:tcBorders>
          </w:tcPr>
          <w:p>
            <w:r>
              <w:rPr>
                <w:rFonts w:ascii="Aptos" w:hAnsi="Aptos"/>
                <w:sz w:val="17"/>
              </w:rPr>
              <w:t>CUECs</w:t>
            </w:r>
          </w:p>
        </w:tc>
        <w:tc>
          <w:tcPr>
            <w:tcW w:type="dxa" w:w="7776"/>
            <w:vAlign w:val="top"/>
            <w:tcBorders>
              <w:top w:val="single" w:sz="4" w:color="D8D2DE"/>
              <w:left w:val="single" w:sz="4" w:color="D8D2DE"/>
              <w:bottom w:val="single" w:sz="4" w:color="D8D2DE"/>
              <w:right w:val="single" w:sz="4" w:color="D8D2DE"/>
            </w:tcBorders>
          </w:tcPr>
          <w:p>
            <w:r>
              <w:rPr>
                <w:rFonts w:ascii="Aptos" w:hAnsi="Aptos"/>
                <w:sz w:val="17"/>
              </w:rPr>
              <w:t>No, or Yes with at least one complete CUEC.</w:t>
            </w:r>
          </w:p>
        </w:tc>
      </w:tr>
      <w:tr>
        <w:tc>
          <w:tcPr>
            <w:tcW w:type="dxa" w:w="3024"/>
            <w:vAlign w:val="top"/>
            <w:tcBorders>
              <w:top w:val="single" w:sz="4" w:color="D8D2DE"/>
              <w:left w:val="single" w:sz="4" w:color="D8D2DE"/>
              <w:bottom w:val="single" w:sz="4" w:color="D8D2DE"/>
              <w:right w:val="single" w:sz="4" w:color="D8D2DE"/>
            </w:tcBorders>
          </w:tcPr>
          <w:p>
            <w:r>
              <w:rPr>
                <w:rFonts w:ascii="Aptos" w:hAnsi="Aptos"/>
                <w:sz w:val="17"/>
              </w:rPr>
              <w:t>Significant changes</w:t>
            </w:r>
          </w:p>
        </w:tc>
        <w:tc>
          <w:tcPr>
            <w:tcW w:type="dxa" w:w="7776"/>
            <w:vAlign w:val="top"/>
            <w:tcBorders>
              <w:top w:val="single" w:sz="4" w:color="D8D2DE"/>
              <w:left w:val="single" w:sz="4" w:color="D8D2DE"/>
              <w:bottom w:val="single" w:sz="4" w:color="D8D2DE"/>
              <w:right w:val="single" w:sz="4" w:color="D8D2DE"/>
            </w:tcBorders>
          </w:tcPr>
          <w:p>
            <w:r>
              <w:rPr>
                <w:rFonts w:ascii="Aptos" w:hAnsi="Aptos"/>
                <w:sz w:val="17"/>
              </w:rPr>
              <w:t>Explicit Yes/No; details if Yes.</w:t>
            </w:r>
          </w:p>
        </w:tc>
      </w:tr>
      <w:tr>
        <w:tc>
          <w:tcPr>
            <w:tcW w:type="dxa" w:w="3024"/>
            <w:vAlign w:val="top"/>
            <w:tcBorders>
              <w:top w:val="single" w:sz="4" w:color="D8D2DE"/>
              <w:left w:val="single" w:sz="4" w:color="D8D2DE"/>
              <w:bottom w:val="single" w:sz="4" w:color="D8D2DE"/>
              <w:right w:val="single" w:sz="4" w:color="D8D2DE"/>
            </w:tcBorders>
          </w:tcPr>
          <w:p>
            <w:r>
              <w:rPr>
                <w:rFonts w:ascii="Aptos" w:hAnsi="Aptos"/>
                <w:sz w:val="17"/>
              </w:rPr>
              <w:t>Criterion exclusion planning</w:t>
            </w:r>
          </w:p>
        </w:tc>
        <w:tc>
          <w:tcPr>
            <w:tcW w:type="dxa" w:w="7776"/>
            <w:vAlign w:val="top"/>
            <w:tcBorders>
              <w:top w:val="single" w:sz="4" w:color="D8D2DE"/>
              <w:left w:val="single" w:sz="4" w:color="D8D2DE"/>
              <w:bottom w:val="single" w:sz="4" w:color="D8D2DE"/>
              <w:right w:val="single" w:sz="4" w:color="D8D2DE"/>
            </w:tcBorders>
          </w:tcPr>
          <w:p>
            <w:r>
              <w:rPr>
                <w:rFonts w:ascii="Aptos" w:hAnsi="Aptos"/>
                <w:sz w:val="17"/>
              </w:rPr>
              <w:t>Explicit Yes/No; details if Yes.</w:t>
            </w:r>
          </w:p>
        </w:tc>
      </w:tr>
    </w:tbl>
    <w:p>
      <w:pPr>
        <w:spacing w:after="20"/>
      </w:pPr>
    </w:p>
    <w:p>
      <w:pPr>
        <w:spacing w:after="100"/>
      </w:pPr>
      <w:r>
        <w:rPr>
          <w:rFonts w:ascii="Aptos" w:hAnsi="Aptos"/>
        </w:rPr>
        <w:t>When all required rows are satisfied, choose Check &amp; mark draft ready, then open Step 4 - Review &amp; confirm.</w:t>
      </w:r>
    </w:p>
    <w:p>
      <w:r>
        <w:br w:type="page"/>
      </w:r>
    </w:p>
    <w:p>
      <w:pPr>
        <w:pStyle w:val="Heading1"/>
      </w:pPr>
      <w:r>
        <w:rPr>
          <w:rFonts w:ascii="Aptos" w:hAnsi="Aptos"/>
          <w:b/>
          <w:color w:val="4B0983"/>
          <w:sz w:val="38"/>
        </w:rPr>
        <w:t>9. Setup Step 4 - Review and confirm</w:t>
      </w:r>
    </w:p>
    <w:p>
      <w:pPr>
        <w:spacing w:after="100"/>
      </w:pPr>
      <w:r>
        <w:rPr>
          <w:rFonts w:ascii="Aptos" w:hAnsi="Aptos"/>
        </w:rPr>
        <w:t>Goal: perform a final management review and create the confirmed SOC 2 engagement snapshot. Earlier confirmed engagements remain preserved; a later confirmation creates a new snapshot rather than silently rewriting history.</w:t>
      </w:r>
    </w:p>
    <w:p>
      <w:pPr>
        <w:jc w:val="center"/>
      </w:pPr>
      <w:r>
        <w:drawing>
          <wp:inline xmlns:a="http://schemas.openxmlformats.org/drawingml/2006/main" xmlns:pic="http://schemas.openxmlformats.org/drawingml/2006/picture">
            <wp:extent cx="6263640" cy="3805907"/>
            <wp:docPr id="5" name="Picture 5" descr="Figure 5. Illustrative final validation gate before PurpleWASP creates the confirmed SOC 2 engagement snapshot."/>
            <wp:cNvGraphicFramePr>
              <a:graphicFrameLocks noChangeAspect="1"/>
            </wp:cNvGraphicFramePr>
            <a:graphic>
              <a:graphicData uri="http://schemas.openxmlformats.org/drawingml/2006/picture">
                <pic:pic>
                  <pic:nvPicPr>
                    <pic:cNvPr id="0" name="05_review_confirm.png"/>
                    <pic:cNvPicPr/>
                  </pic:nvPicPr>
                  <pic:blipFill>
                    <a:blip r:embed="rId15"/>
                    <a:stretch>
                      <a:fillRect/>
                    </a:stretch>
                  </pic:blipFill>
                  <pic:spPr>
                    <a:xfrm>
                      <a:off x="0" y="0"/>
                      <a:ext cx="6263640" cy="3805907"/>
                    </a:xfrm>
                    <a:prstGeom prst="rect"/>
                  </pic:spPr>
                </pic:pic>
              </a:graphicData>
            </a:graphic>
          </wp:inline>
        </w:drawing>
      </w:r>
    </w:p>
    <w:p>
      <w:pPr>
        <w:spacing w:after="160"/>
        <w:jc w:val="center"/>
      </w:pPr>
      <w:r>
        <w:rPr>
          <w:rFonts w:ascii="Aptos" w:hAnsi="Aptos"/>
          <w:i/>
          <w:color w:val="6B6470"/>
          <w:sz w:val="17"/>
        </w:rPr>
        <w:t>Figure 5. Illustrative final validation gate before PurpleWASP creates the confirmed SOC 2 engagement snapshot.</w:t>
      </w:r>
    </w:p>
    <w:p>
      <w:pPr>
        <w:pStyle w:val="Heading2"/>
      </w:pPr>
      <w:r>
        <w:rPr>
          <w:rFonts w:ascii="Aptos" w:hAnsi="Aptos"/>
          <w:b/>
          <w:color w:val="24152E"/>
          <w:sz w:val="28"/>
        </w:rPr>
        <w:t>9.1 What the final gate revalidates</w:t>
      </w:r>
    </w:p>
    <w:p>
      <w:pPr>
        <w:pStyle w:val="ListBullet"/>
        <w:spacing w:after="40"/>
      </w:pPr>
      <w:r>
        <w:rPr>
          <w:rFonts w:ascii="Aptos" w:hAnsi="Aptos"/>
        </w:rPr>
        <w:t>The Trust Services category scope still matches what was carried through Step 2.</w:t>
      </w:r>
    </w:p>
    <w:p>
      <w:pPr>
        <w:pStyle w:val="ListBullet"/>
        <w:spacing w:after="40"/>
      </w:pPr>
      <w:r>
        <w:rPr>
          <w:rFonts w:ascii="Aptos" w:hAnsi="Aptos"/>
        </w:rPr>
        <w:t>Steps 2 and 3 exist and Step 3 is marked ready.</w:t>
      </w:r>
    </w:p>
    <w:p>
      <w:pPr>
        <w:pStyle w:val="ListBullet"/>
        <w:spacing w:after="40"/>
      </w:pPr>
      <w:r>
        <w:rPr>
          <w:rFonts w:ascii="Aptos" w:hAnsi="Aptos"/>
        </w:rPr>
        <w:t>The live system-boundary discovery has no blocking or management-review gaps.</w:t>
      </w:r>
    </w:p>
    <w:p>
      <w:pPr>
        <w:pStyle w:val="ListBullet"/>
        <w:spacing w:after="40"/>
      </w:pPr>
      <w:r>
        <w:rPr>
          <w:rFonts w:ascii="Aptos" w:hAnsi="Aptos"/>
        </w:rPr>
        <w:t>Every exclusion has rationale and no unresolved review objects remain.</w:t>
      </w:r>
    </w:p>
    <w:p>
      <w:pPr>
        <w:pStyle w:val="ListBullet"/>
        <w:spacing w:after="40"/>
      </w:pPr>
      <w:r>
        <w:rPr>
          <w:rFonts w:ascii="Aptos" w:hAnsi="Aptos"/>
        </w:rPr>
        <w:t>Service name, description and commitments are present.</w:t>
      </w:r>
    </w:p>
    <w:p>
      <w:pPr>
        <w:pStyle w:val="ListBullet"/>
        <w:spacing w:after="40"/>
      </w:pPr>
      <w:r>
        <w:rPr>
          <w:rFonts w:ascii="Aptos" w:hAnsi="Aptos"/>
        </w:rPr>
        <w:t>At least one intended report-user group is present.</w:t>
      </w:r>
    </w:p>
    <w:p>
      <w:pPr>
        <w:pStyle w:val="ListBullet"/>
        <w:spacing w:after="40"/>
      </w:pPr>
      <w:r>
        <w:rPr>
          <w:rFonts w:ascii="Aptos" w:hAnsi="Aptos"/>
        </w:rPr>
        <w:t>Report type is Type I or Type II and required dates are valid.</w:t>
      </w:r>
    </w:p>
    <w:p>
      <w:pPr>
        <w:pStyle w:val="ListBullet"/>
        <w:spacing w:after="40"/>
      </w:pPr>
      <w:r>
        <w:rPr>
          <w:rFonts w:ascii="Aptos" w:hAnsi="Aptos"/>
        </w:rPr>
        <w:t>CUEC applicability is Yes or No; if Yes, at least one complete CUEC exists.</w:t>
      </w:r>
    </w:p>
    <w:p>
      <w:pPr>
        <w:pStyle w:val="ListBullet"/>
        <w:spacing w:after="40"/>
      </w:pPr>
      <w:r>
        <w:rPr>
          <w:rFonts w:ascii="Aptos" w:hAnsi="Aptos"/>
        </w:rPr>
        <w:t>Significant-changes and criterion-exclusion decisions are complete.</w:t>
      </w:r>
    </w:p>
    <w:p>
      <w:pPr>
        <w:pStyle w:val="ListBullet"/>
        <w:spacing w:after="40"/>
      </w:pPr>
      <w:r>
        <w:rPr>
          <w:rFonts w:ascii="Aptos" w:hAnsi="Aptos"/>
        </w:rPr>
        <w:t>Subservice treatment decisions are valid for the live included/review third-party population.</w:t>
      </w:r>
    </w:p>
    <w:p>
      <w:pPr>
        <w:pStyle w:val="Heading2"/>
      </w:pPr>
      <w:r>
        <w:rPr>
          <w:rFonts w:ascii="Aptos" w:hAnsi="Aptos"/>
          <w:b/>
          <w:color w:val="24152E"/>
          <w:sz w:val="28"/>
        </w:rPr>
        <w:t>9.2 Confirm the configuration</w:t>
      </w:r>
    </w:p>
    <w:p>
      <w:pPr>
        <w:spacing w:after="80"/>
        <w:ind w:left="259" w:hanging="259"/>
      </w:pPr>
      <w:r>
        <w:rPr>
          <w:rFonts w:ascii="Aptos" w:hAnsi="Aptos"/>
          <w:b/>
          <w:color w:val="4B0983"/>
        </w:rPr>
        <w:t xml:space="preserve">1. </w:t>
      </w:r>
      <w:r>
        <w:rPr>
          <w:rFonts w:ascii="Aptos" w:hAnsi="Aptos"/>
          <w:b/>
        </w:rPr>
        <w:t xml:space="preserve">Review Framework and Trust Services scope. </w:t>
      </w:r>
      <w:r>
        <w:rPr>
          <w:rFonts w:ascii="Aptos" w:hAnsi="Aptos"/>
        </w:rPr>
        <w:t>If wrong, return to Step 1 instead of fixing downstream records around a bad scope.</w:t>
      </w:r>
    </w:p>
    <w:p>
      <w:pPr>
        <w:spacing w:after="80"/>
        <w:ind w:left="259" w:hanging="259"/>
      </w:pPr>
      <w:r>
        <w:rPr>
          <w:rFonts w:ascii="Aptos" w:hAnsi="Aptos"/>
          <w:b/>
          <w:color w:val="4B0983"/>
        </w:rPr>
        <w:t xml:space="preserve">2. </w:t>
      </w:r>
      <w:r>
        <w:rPr>
          <w:rFonts w:ascii="Aptos" w:hAnsi="Aptos"/>
          <w:b/>
        </w:rPr>
        <w:t xml:space="preserve">Review System boundary. </w:t>
      </w:r>
      <w:r>
        <w:rPr>
          <w:rFonts w:ascii="Aptos" w:hAnsi="Aptos"/>
        </w:rPr>
        <w:t>Make sure process, asset and provider counts reflect the intended service.</w:t>
      </w:r>
    </w:p>
    <w:p>
      <w:pPr>
        <w:spacing w:after="80"/>
        <w:ind w:left="259" w:hanging="259"/>
      </w:pPr>
      <w:r>
        <w:rPr>
          <w:rFonts w:ascii="Aptos" w:hAnsi="Aptos"/>
          <w:b/>
          <w:color w:val="4B0983"/>
        </w:rPr>
        <w:t xml:space="preserve">3. </w:t>
      </w:r>
      <w:r>
        <w:rPr>
          <w:rFonts w:ascii="Aptos" w:hAnsi="Aptos"/>
          <w:b/>
        </w:rPr>
        <w:t xml:space="preserve">Review Engagement summary. </w:t>
      </w:r>
      <w:r>
        <w:rPr>
          <w:rFonts w:ascii="Aptos" w:hAnsi="Aptos"/>
        </w:rPr>
        <w:t>Check type, period, users, commitments and key judgements.</w:t>
      </w:r>
    </w:p>
    <w:p>
      <w:pPr>
        <w:spacing w:after="80"/>
        <w:ind w:left="259" w:hanging="259"/>
      </w:pPr>
      <w:r>
        <w:rPr>
          <w:rFonts w:ascii="Aptos" w:hAnsi="Aptos"/>
          <w:b/>
          <w:color w:val="4B0983"/>
        </w:rPr>
        <w:t xml:space="preserve">4. </w:t>
      </w:r>
      <w:r>
        <w:rPr>
          <w:rFonts w:ascii="Aptos" w:hAnsi="Aptos"/>
          <w:b/>
        </w:rPr>
        <w:t xml:space="preserve">Review subservice organisations, CUECs and criterion applicability. </w:t>
      </w:r>
      <w:r>
        <w:rPr>
          <w:rFonts w:ascii="Aptos" w:hAnsi="Aptos"/>
        </w:rPr>
        <w:t>These are engagement-specific judgements and will be snapshotted.</w:t>
      </w:r>
    </w:p>
    <w:p>
      <w:pPr>
        <w:spacing w:after="80"/>
        <w:ind w:left="259" w:hanging="259"/>
      </w:pPr>
      <w:r>
        <w:rPr>
          <w:rFonts w:ascii="Aptos" w:hAnsi="Aptos"/>
          <w:b/>
          <w:color w:val="4B0983"/>
        </w:rPr>
        <w:t xml:space="preserve">5. </w:t>
      </w:r>
      <w:r>
        <w:rPr>
          <w:rFonts w:ascii="Aptos" w:hAnsi="Aptos"/>
          <w:b/>
        </w:rPr>
        <w:t xml:space="preserve">Tick the management confirmation statement. </w:t>
      </w:r>
      <w:r>
        <w:rPr>
          <w:rFonts w:ascii="Aptos" w:hAnsi="Aptos"/>
        </w:rPr>
        <w:t>This records that management reviewed the proposed scope.</w:t>
      </w:r>
    </w:p>
    <w:p>
      <w:pPr>
        <w:spacing w:after="80"/>
        <w:ind w:left="259" w:hanging="259"/>
      </w:pPr>
      <w:r>
        <w:rPr>
          <w:rFonts w:ascii="Aptos" w:hAnsi="Aptos"/>
          <w:b/>
          <w:color w:val="4B0983"/>
        </w:rPr>
        <w:t xml:space="preserve">6. </w:t>
      </w:r>
      <w:r>
        <w:rPr>
          <w:rFonts w:ascii="Aptos" w:hAnsi="Aptos"/>
          <w:b/>
        </w:rPr>
        <w:t xml:space="preserve">Choose Confirm &amp; create SOC 2 configuration. </w:t>
      </w:r>
      <w:r>
        <w:rPr>
          <w:rFonts w:ascii="Aptos" w:hAnsi="Aptos"/>
        </w:rPr>
        <w:t>PurpleWASP creates the engagement snapshot and enables the downstream criteria/control readiness workflow.</w:t>
      </w:r>
    </w:p>
    <w:tbl>
      <w:tblPr>
        <w:tblW w:type="auto" w:w="0"/>
        <w:jc w:val="center"/>
        <w:tblLayout w:type="autofit"/>
        <w:tblLook w:firstColumn="1" w:firstRow="1" w:lastColumn="0" w:lastRow="0" w:noHBand="0" w:noVBand="1" w:val="04A0"/>
      </w:tblPr>
      <w:tblGrid>
        <w:gridCol w:w="9994"/>
      </w:tblGrid>
      <w:tr>
        <w:tc>
          <w:tcPr>
            <w:tcW w:type="dxa" w:w="9994"/>
            <w:shd w:fill="EEF8F2"/>
            <w:tcBorders>
              <w:top w:val="nil"/>
              <w:left w:val="single" w:sz="18" w:color="167C46"/>
              <w:bottom w:val="nil"/>
              <w:right w:val="nil"/>
            </w:tcBorders>
          </w:tcPr>
          <w:p>
            <w:pPr>
              <w:spacing w:after="60"/>
            </w:pPr>
            <w:r>
              <w:rPr>
                <w:rFonts w:ascii="Aptos" w:hAnsi="Aptos"/>
                <w:b/>
                <w:color w:val="167C46"/>
                <w:sz w:val="21"/>
              </w:rPr>
              <w:t>Treat confirmation as a controlled baseline.</w:t>
            </w:r>
          </w:p>
          <w:p>
            <w:pPr>
              <w:spacing w:after="0"/>
            </w:pPr>
            <w:r>
              <w:rPr>
                <w:rFonts w:ascii="Aptos" w:hAnsi="Aptos"/>
                <w:sz w:val="19"/>
              </w:rPr>
              <w:t>After confirmation, use the operational workspaces to improve readiness. If the fundamental service/system scope changes materially, create a deliberate new configuration snapshot rather than quietly treating the original snapshot as if it had always included the change.</w:t>
            </w:r>
          </w:p>
        </w:tc>
      </w:tr>
    </w:tbl>
    <w:p>
      <w:pPr>
        <w:spacing w:after="20"/>
      </w:pPr>
    </w:p>
    <w:p>
      <w:r>
        <w:br w:type="page"/>
      </w:r>
    </w:p>
    <w:p>
      <w:pPr>
        <w:pStyle w:val="Heading1"/>
      </w:pPr>
      <w:r>
        <w:rPr>
          <w:rFonts w:ascii="Aptos" w:hAnsi="Aptos"/>
          <w:b/>
          <w:color w:val="4B0983"/>
          <w:sz w:val="38"/>
        </w:rPr>
        <w:t>10. Using the SOC 2 Engagement Dashboard</w:t>
      </w:r>
    </w:p>
    <w:p>
      <w:pPr>
        <w:jc w:val="center"/>
      </w:pPr>
      <w:r>
        <w:drawing>
          <wp:inline xmlns:a="http://schemas.openxmlformats.org/drawingml/2006/main" xmlns:pic="http://schemas.openxmlformats.org/drawingml/2006/picture">
            <wp:extent cx="6263640" cy="3805907"/>
            <wp:docPr id="6" name="Picture 6" descr="Figure 6. Illustrative Engagement Dashboard showing the confirmed boundary, control coverage and live readiness signals."/>
            <wp:cNvGraphicFramePr>
              <a:graphicFrameLocks noChangeAspect="1"/>
            </wp:cNvGraphicFramePr>
            <a:graphic>
              <a:graphicData uri="http://schemas.openxmlformats.org/drawingml/2006/picture">
                <pic:pic>
                  <pic:nvPicPr>
                    <pic:cNvPr id="0" name="06_dashboard.png"/>
                    <pic:cNvPicPr/>
                  </pic:nvPicPr>
                  <pic:blipFill>
                    <a:blip r:embed="rId16"/>
                    <a:stretch>
                      <a:fillRect/>
                    </a:stretch>
                  </pic:blipFill>
                  <pic:spPr>
                    <a:xfrm>
                      <a:off x="0" y="0"/>
                      <a:ext cx="6263640" cy="3805907"/>
                    </a:xfrm>
                    <a:prstGeom prst="rect"/>
                  </pic:spPr>
                </pic:pic>
              </a:graphicData>
            </a:graphic>
          </wp:inline>
        </w:drawing>
      </w:r>
    </w:p>
    <w:p>
      <w:pPr>
        <w:spacing w:after="160"/>
        <w:jc w:val="center"/>
      </w:pPr>
      <w:r>
        <w:rPr>
          <w:rFonts w:ascii="Aptos" w:hAnsi="Aptos"/>
          <w:i/>
          <w:color w:val="6B6470"/>
          <w:sz w:val="17"/>
        </w:rPr>
        <w:t>Figure 6. Illustrative Engagement Dashboard showing the confirmed boundary, control coverage and live readiness signals.</w:t>
      </w:r>
    </w:p>
    <w:p>
      <w:pPr>
        <w:spacing w:after="100"/>
      </w:pPr>
      <w:r>
        <w:rPr>
          <w:rFonts w:ascii="Aptos" w:hAnsi="Aptos"/>
        </w:rPr>
        <w:t>The dashboard is the entry point after confirmation. It is not a substitute for the detailed workbenches; it tells you where to go next.</w:t>
      </w:r>
    </w:p>
    <w:p>
      <w:pPr>
        <w:pStyle w:val="Heading2"/>
      </w:pPr>
      <w:r>
        <w:rPr>
          <w:rFonts w:ascii="Aptos" w:hAnsi="Aptos"/>
          <w:b/>
          <w:color w:val="24152E"/>
          <w:sz w:val="28"/>
        </w:rPr>
        <w:t>10.1 Read the engagement identity first</w:t>
      </w:r>
    </w:p>
    <w:p>
      <w:pPr>
        <w:pStyle w:val="ListBullet"/>
        <w:spacing w:after="40"/>
      </w:pPr>
      <w:r>
        <w:rPr>
          <w:rFonts w:ascii="Aptos" w:hAnsi="Aptos"/>
        </w:rPr>
        <w:t>Confirm the engagement code/system name is the one you intend to work on.</w:t>
      </w:r>
    </w:p>
    <w:p>
      <w:pPr>
        <w:pStyle w:val="ListBullet"/>
        <w:spacing w:after="40"/>
      </w:pPr>
      <w:r>
        <w:rPr>
          <w:rFonts w:ascii="Aptos" w:hAnsi="Aptos"/>
        </w:rPr>
        <w:t>Confirm the Type I as-of date or Type II observation period.</w:t>
      </w:r>
    </w:p>
    <w:p>
      <w:pPr>
        <w:pStyle w:val="ListBullet"/>
        <w:spacing w:after="40"/>
      </w:pPr>
      <w:r>
        <w:rPr>
          <w:rFonts w:ascii="Aptos" w:hAnsi="Aptos"/>
        </w:rPr>
        <w:t>Confirm the selected Trust Services Categories.</w:t>
      </w:r>
    </w:p>
    <w:p>
      <w:pPr>
        <w:pStyle w:val="ListBullet"/>
        <w:spacing w:after="40"/>
      </w:pPr>
      <w:r>
        <w:rPr>
          <w:rFonts w:ascii="Aptos" w:hAnsi="Aptos"/>
        </w:rPr>
        <w:t>Confirm the system-boundary counts before interpreting control readiness.</w:t>
      </w:r>
    </w:p>
    <w:p>
      <w:pPr>
        <w:pStyle w:val="Heading2"/>
      </w:pPr>
      <w:r>
        <w:rPr>
          <w:rFonts w:ascii="Aptos" w:hAnsi="Aptos"/>
          <w:b/>
          <w:color w:val="24152E"/>
          <w:sz w:val="28"/>
        </w:rPr>
        <w:t>10.2 Use the three dashboard sections</w:t>
      </w:r>
    </w:p>
    <w:tbl>
      <w:tblPr>
        <w:tblStyle w:val="TableGrid"/>
        <w:tblW w:type="auto" w:w="0"/>
        <w:jc w:val="center"/>
        <w:tblLook w:firstColumn="1" w:firstRow="1" w:lastColumn="0" w:lastRow="0" w:noHBand="0" w:noVBand="1" w:val="04A0"/>
      </w:tblPr>
      <w:tblGrid>
        <w:gridCol w:w="3331"/>
        <w:gridCol w:w="3331"/>
        <w:gridCol w:w="3331"/>
      </w:tblGrid>
      <w:tr>
        <w:tc>
          <w:tcPr>
            <w:tcW w:type="dxa" w:w="2592"/>
            <w:shd w:fill="4B0983"/>
            <w:vAlign w:val="center"/>
          </w:tcPr>
          <w:p>
            <w:pPr>
              <w:jc w:val="left"/>
            </w:pPr>
            <w:r>
              <w:rPr>
                <w:rFonts w:ascii="Aptos" w:hAnsi="Aptos"/>
                <w:b/>
                <w:color w:val="FFFFFF"/>
                <w:sz w:val="17"/>
              </w:rPr>
              <w:t>Section</w:t>
            </w:r>
          </w:p>
        </w:tc>
        <w:tc>
          <w:tcPr>
            <w:tcW w:type="dxa" w:w="5040"/>
            <w:shd w:fill="4B0983"/>
            <w:vAlign w:val="center"/>
          </w:tcPr>
          <w:p>
            <w:pPr>
              <w:jc w:val="left"/>
            </w:pPr>
            <w:r>
              <w:rPr>
                <w:rFonts w:ascii="Aptos" w:hAnsi="Aptos"/>
                <w:b/>
                <w:color w:val="FFFFFF"/>
                <w:sz w:val="17"/>
              </w:rPr>
              <w:t>Interpretation</w:t>
            </w:r>
          </w:p>
        </w:tc>
        <w:tc>
          <w:tcPr>
            <w:tcW w:type="dxa" w:w="3168"/>
            <w:shd w:fill="4B0983"/>
            <w:vAlign w:val="center"/>
          </w:tcPr>
          <w:p>
            <w:pPr>
              <w:jc w:val="left"/>
            </w:pPr>
            <w:r>
              <w:rPr>
                <w:rFonts w:ascii="Aptos" w:hAnsi="Aptos"/>
                <w:b/>
                <w:color w:val="FFFFFF"/>
                <w:sz w:val="17"/>
              </w:rPr>
              <w:t>Typical next action</w:t>
            </w:r>
          </w:p>
        </w:tc>
      </w:tr>
      <w:tr>
        <w:tc>
          <w:tcPr>
            <w:tcW w:type="dxa" w:w="2592"/>
            <w:vAlign w:val="top"/>
            <w:tcBorders>
              <w:top w:val="single" w:sz="4" w:color="D8D2DE"/>
              <w:left w:val="single" w:sz="4" w:color="D8D2DE"/>
              <w:bottom w:val="single" w:sz="4" w:color="D8D2DE"/>
              <w:right w:val="single" w:sz="4" w:color="D8D2DE"/>
            </w:tcBorders>
          </w:tcPr>
          <w:p>
            <w:r>
              <w:rPr>
                <w:rFonts w:ascii="Aptos" w:hAnsi="Aptos"/>
                <w:sz w:val="17"/>
              </w:rPr>
              <w:t>Confirmed system boundary</w:t>
            </w:r>
          </w:p>
        </w:tc>
        <w:tc>
          <w:tcPr>
            <w:tcW w:type="dxa" w:w="5040"/>
            <w:vAlign w:val="top"/>
            <w:tcBorders>
              <w:top w:val="single" w:sz="4" w:color="D8D2DE"/>
              <w:left w:val="single" w:sz="4" w:color="D8D2DE"/>
              <w:bottom w:val="single" w:sz="4" w:color="D8D2DE"/>
              <w:right w:val="single" w:sz="4" w:color="D8D2DE"/>
            </w:tcBorders>
          </w:tcPr>
          <w:p>
            <w:r>
              <w:rPr>
                <w:rFonts w:ascii="Aptos" w:hAnsi="Aptos"/>
                <w:sz w:val="17"/>
              </w:rPr>
              <w:t>The snapshotted scope from setup.</w:t>
            </w:r>
          </w:p>
        </w:tc>
        <w:tc>
          <w:tcPr>
            <w:tcW w:type="dxa" w:w="3168"/>
            <w:vAlign w:val="top"/>
            <w:tcBorders>
              <w:top w:val="single" w:sz="4" w:color="D8D2DE"/>
              <w:left w:val="single" w:sz="4" w:color="D8D2DE"/>
              <w:bottom w:val="single" w:sz="4" w:color="D8D2DE"/>
              <w:right w:val="single" w:sz="4" w:color="D8D2DE"/>
            </w:tcBorders>
          </w:tcPr>
          <w:p>
            <w:r>
              <w:rPr>
                <w:rFonts w:ascii="Aptos" w:hAnsi="Aptos"/>
                <w:sz w:val="17"/>
              </w:rPr>
              <w:t>If fundamentally wrong, revisit setup/configuration rather than compensating with control data.</w:t>
            </w:r>
          </w:p>
        </w:tc>
      </w:tr>
      <w:tr>
        <w:tc>
          <w:tcPr>
            <w:tcW w:type="dxa" w:w="2592"/>
            <w:vAlign w:val="top"/>
            <w:tcBorders>
              <w:top w:val="single" w:sz="4" w:color="D8D2DE"/>
              <w:left w:val="single" w:sz="4" w:color="D8D2DE"/>
              <w:bottom w:val="single" w:sz="4" w:color="D8D2DE"/>
              <w:right w:val="single" w:sz="4" w:color="D8D2DE"/>
            </w:tcBorders>
          </w:tcPr>
          <w:p>
            <w:r>
              <w:rPr>
                <w:rFonts w:ascii="Aptos" w:hAnsi="Aptos"/>
                <w:sz w:val="17"/>
              </w:rPr>
              <w:t>Control coverage planning</w:t>
            </w:r>
          </w:p>
        </w:tc>
        <w:tc>
          <w:tcPr>
            <w:tcW w:type="dxa" w:w="5040"/>
            <w:vAlign w:val="top"/>
            <w:tcBorders>
              <w:top w:val="single" w:sz="4" w:color="D8D2DE"/>
              <w:left w:val="single" w:sz="4" w:color="D8D2DE"/>
              <w:bottom w:val="single" w:sz="4" w:color="D8D2DE"/>
              <w:right w:val="single" w:sz="4" w:color="D8D2DE"/>
            </w:tcBorders>
          </w:tcPr>
          <w:p>
            <w:r>
              <w:rPr>
                <w:rFonts w:ascii="Aptos" w:hAnsi="Aptos"/>
                <w:sz w:val="17"/>
              </w:rPr>
              <w:t>Whether management has moved from candidate mappings to explicit selected organisation controls.</w:t>
            </w:r>
          </w:p>
        </w:tc>
        <w:tc>
          <w:tcPr>
            <w:tcW w:type="dxa" w:w="3168"/>
            <w:vAlign w:val="top"/>
            <w:tcBorders>
              <w:top w:val="single" w:sz="4" w:color="D8D2DE"/>
              <w:left w:val="single" w:sz="4" w:color="D8D2DE"/>
              <w:bottom w:val="single" w:sz="4" w:color="D8D2DE"/>
              <w:right w:val="single" w:sz="4" w:color="D8D2DE"/>
            </w:tcBorders>
          </w:tcPr>
          <w:p>
            <w:r>
              <w:rPr>
                <w:rFonts w:ascii="Aptos" w:hAnsi="Aptos"/>
                <w:sz w:val="17"/>
              </w:rPr>
              <w:t>Open Criteria Workspace and Control Coverage Plan.</w:t>
            </w:r>
          </w:p>
        </w:tc>
      </w:tr>
      <w:tr>
        <w:tc>
          <w:tcPr>
            <w:tcW w:type="dxa" w:w="2592"/>
            <w:vAlign w:val="top"/>
            <w:tcBorders>
              <w:top w:val="single" w:sz="4" w:color="D8D2DE"/>
              <w:left w:val="single" w:sz="4" w:color="D8D2DE"/>
              <w:bottom w:val="single" w:sz="4" w:color="D8D2DE"/>
              <w:right w:val="single" w:sz="4" w:color="D8D2DE"/>
            </w:tcBorders>
          </w:tcPr>
          <w:p>
            <w:r>
              <w:rPr>
                <w:rFonts w:ascii="Aptos" w:hAnsi="Aptos"/>
                <w:sz w:val="17"/>
              </w:rPr>
              <w:t>Operational readiness signals</w:t>
            </w:r>
          </w:p>
        </w:tc>
        <w:tc>
          <w:tcPr>
            <w:tcW w:type="dxa" w:w="5040"/>
            <w:vAlign w:val="top"/>
            <w:tcBorders>
              <w:top w:val="single" w:sz="4" w:color="D8D2DE"/>
              <w:left w:val="single" w:sz="4" w:color="D8D2DE"/>
              <w:bottom w:val="single" w:sz="4" w:color="D8D2DE"/>
              <w:right w:val="single" w:sz="4" w:color="D8D2DE"/>
            </w:tcBorders>
          </w:tcPr>
          <w:p>
            <w:r>
              <w:rPr>
                <w:rFonts w:ascii="Aptos" w:hAnsi="Aptos"/>
                <w:sz w:val="17"/>
              </w:rPr>
              <w:t>Live status from implementation, assessments, evidence, testing, issues and exceptions for selected controls.</w:t>
            </w:r>
          </w:p>
        </w:tc>
        <w:tc>
          <w:tcPr>
            <w:tcW w:type="dxa" w:w="3168"/>
            <w:vAlign w:val="top"/>
            <w:tcBorders>
              <w:top w:val="single" w:sz="4" w:color="D8D2DE"/>
              <w:left w:val="single" w:sz="4" w:color="D8D2DE"/>
              <w:bottom w:val="single" w:sz="4" w:color="D8D2DE"/>
              <w:right w:val="single" w:sz="4" w:color="D8D2DE"/>
            </w:tcBorders>
          </w:tcPr>
          <w:p>
            <w:r>
              <w:rPr>
                <w:rFonts w:ascii="Aptos" w:hAnsi="Aptos"/>
                <w:sz w:val="17"/>
              </w:rPr>
              <w:t>Open Operational Readiness and the relevant workbench for the blocker.</w:t>
            </w:r>
          </w:p>
        </w:tc>
      </w:tr>
    </w:tbl>
    <w:p>
      <w:pPr>
        <w:spacing w:after="20"/>
      </w:pPr>
    </w:p>
    <w:p>
      <w:r>
        <w:br w:type="page"/>
      </w:r>
    </w:p>
    <w:p>
      <w:pPr>
        <w:pStyle w:val="Heading1"/>
      </w:pPr>
      <w:r>
        <w:rPr>
          <w:rFonts w:ascii="Aptos" w:hAnsi="Aptos"/>
          <w:b/>
          <w:color w:val="4B0983"/>
          <w:sz w:val="38"/>
        </w:rPr>
        <w:t>11. Criteria / Control Readiness Matrix</w:t>
      </w:r>
    </w:p>
    <w:p>
      <w:pPr>
        <w:spacing w:after="100"/>
      </w:pPr>
      <w:r>
        <w:rPr>
          <w:rFonts w:ascii="Aptos" w:hAnsi="Aptos"/>
        </w:rPr>
        <w:t>Goal: understand each applicable criterion, the candidate PurpleWASP control mappings, the organisation controls already selected, and the current readiness status. The current UI keeps each criterion compact and collapses the detailed control list until you choose View controls.</w:t>
      </w:r>
    </w:p>
    <w:p>
      <w:pPr>
        <w:jc w:val="center"/>
      </w:pPr>
      <w:r>
        <w:drawing>
          <wp:inline xmlns:a="http://schemas.openxmlformats.org/drawingml/2006/main" xmlns:pic="http://schemas.openxmlformats.org/drawingml/2006/picture">
            <wp:extent cx="6263640" cy="3805907"/>
            <wp:docPr id="7" name="Picture 7" descr="Figure 7. Illustrative collapsible Criteria / Control Readiness Matrix."/>
            <wp:cNvGraphicFramePr>
              <a:graphicFrameLocks noChangeAspect="1"/>
            </wp:cNvGraphicFramePr>
            <a:graphic>
              <a:graphicData uri="http://schemas.openxmlformats.org/drawingml/2006/picture">
                <pic:pic>
                  <pic:nvPicPr>
                    <pic:cNvPr id="0" name="07_criteria.png"/>
                    <pic:cNvPicPr/>
                  </pic:nvPicPr>
                  <pic:blipFill>
                    <a:blip r:embed="rId17"/>
                    <a:stretch>
                      <a:fillRect/>
                    </a:stretch>
                  </pic:blipFill>
                  <pic:spPr>
                    <a:xfrm>
                      <a:off x="0" y="0"/>
                      <a:ext cx="6263640" cy="3805907"/>
                    </a:xfrm>
                    <a:prstGeom prst="rect"/>
                  </pic:spPr>
                </pic:pic>
              </a:graphicData>
            </a:graphic>
          </wp:inline>
        </w:drawing>
      </w:r>
    </w:p>
    <w:p>
      <w:pPr>
        <w:spacing w:after="160"/>
        <w:jc w:val="center"/>
      </w:pPr>
      <w:r>
        <w:rPr>
          <w:rFonts w:ascii="Aptos" w:hAnsi="Aptos"/>
          <w:i/>
          <w:color w:val="6B6470"/>
          <w:sz w:val="17"/>
        </w:rPr>
        <w:t>Figure 7. Illustrative collapsible Criteria / Control Readiness Matrix.</w:t>
      </w:r>
    </w:p>
    <w:p>
      <w:pPr>
        <w:pStyle w:val="Heading2"/>
      </w:pPr>
      <w:r>
        <w:rPr>
          <w:rFonts w:ascii="Aptos" w:hAnsi="Aptos"/>
          <w:b/>
          <w:color w:val="24152E"/>
          <w:sz w:val="28"/>
        </w:rPr>
        <w:t>11.1 Read a criterion row</w:t>
      </w:r>
    </w:p>
    <w:tbl>
      <w:tblPr>
        <w:tblStyle w:val="TableGrid"/>
        <w:tblW w:type="auto" w:w="0"/>
        <w:jc w:val="center"/>
        <w:tblLook w:firstColumn="1" w:firstRow="1" w:lastColumn="0" w:lastRow="0" w:noHBand="0" w:noVBand="1" w:val="04A0"/>
      </w:tblPr>
      <w:tblGrid>
        <w:gridCol w:w="4997"/>
        <w:gridCol w:w="4997"/>
      </w:tblGrid>
      <w:tr>
        <w:tc>
          <w:tcPr>
            <w:tcW w:type="dxa" w:w="2736"/>
            <w:shd w:fill="4B0983"/>
            <w:vAlign w:val="center"/>
          </w:tcPr>
          <w:p>
            <w:pPr>
              <w:jc w:val="left"/>
            </w:pPr>
            <w:r>
              <w:rPr>
                <w:rFonts w:ascii="Aptos" w:hAnsi="Aptos"/>
                <w:b/>
                <w:color w:val="FFFFFF"/>
                <w:sz w:val="17"/>
              </w:rPr>
              <w:t>Item</w:t>
            </w:r>
          </w:p>
        </w:tc>
        <w:tc>
          <w:tcPr>
            <w:tcW w:type="dxa" w:w="8064"/>
            <w:shd w:fill="4B0983"/>
            <w:vAlign w:val="center"/>
          </w:tcPr>
          <w:p>
            <w:pPr>
              <w:jc w:val="left"/>
            </w:pPr>
            <w:r>
              <w:rPr>
                <w:rFonts w:ascii="Aptos" w:hAnsi="Aptos"/>
                <w:b/>
                <w:color w:val="FFFFFF"/>
                <w:sz w:val="17"/>
              </w:rPr>
              <w:t>Meaning</w:t>
            </w:r>
          </w:p>
        </w:tc>
      </w:tr>
      <w:tr>
        <w:tc>
          <w:tcPr>
            <w:tcW w:type="dxa" w:w="2736"/>
            <w:vAlign w:val="top"/>
            <w:tcBorders>
              <w:top w:val="single" w:sz="4" w:color="D8D2DE"/>
              <w:left w:val="single" w:sz="4" w:color="D8D2DE"/>
              <w:bottom w:val="single" w:sz="4" w:color="D8D2DE"/>
              <w:right w:val="single" w:sz="4" w:color="D8D2DE"/>
            </w:tcBorders>
          </w:tcPr>
          <w:p>
            <w:r>
              <w:rPr>
                <w:rFonts w:ascii="Aptos" w:hAnsi="Aptos"/>
                <w:sz w:val="17"/>
              </w:rPr>
              <w:t>Criterion code/title</w:t>
            </w:r>
          </w:p>
        </w:tc>
        <w:tc>
          <w:tcPr>
            <w:tcW w:type="dxa" w:w="8064"/>
            <w:vAlign w:val="top"/>
            <w:tcBorders>
              <w:top w:val="single" w:sz="4" w:color="D8D2DE"/>
              <w:left w:val="single" w:sz="4" w:color="D8D2DE"/>
              <w:bottom w:val="single" w:sz="4" w:color="D8D2DE"/>
              <w:right w:val="single" w:sz="4" w:color="D8D2DE"/>
            </w:tcBorders>
          </w:tcPr>
          <w:p>
            <w:r>
              <w:rPr>
                <w:rFonts w:ascii="Aptos" w:hAnsi="Aptos"/>
                <w:sz w:val="17"/>
              </w:rPr>
              <w:t>The Trust Services criterion in the confirmed engagement.</w:t>
            </w:r>
          </w:p>
        </w:tc>
      </w:tr>
      <w:tr>
        <w:tc>
          <w:tcPr>
            <w:tcW w:type="dxa" w:w="2736"/>
            <w:vAlign w:val="top"/>
            <w:tcBorders>
              <w:top w:val="single" w:sz="4" w:color="D8D2DE"/>
              <w:left w:val="single" w:sz="4" w:color="D8D2DE"/>
              <w:bottom w:val="single" w:sz="4" w:color="D8D2DE"/>
              <w:right w:val="single" w:sz="4" w:color="D8D2DE"/>
            </w:tcBorders>
          </w:tcPr>
          <w:p>
            <w:r>
              <w:rPr>
                <w:rFonts w:ascii="Aptos" w:hAnsi="Aptos"/>
                <w:sz w:val="17"/>
              </w:rPr>
              <w:t>Category</w:t>
            </w:r>
          </w:p>
        </w:tc>
        <w:tc>
          <w:tcPr>
            <w:tcW w:type="dxa" w:w="8064"/>
            <w:vAlign w:val="top"/>
            <w:tcBorders>
              <w:top w:val="single" w:sz="4" w:color="D8D2DE"/>
              <w:left w:val="single" w:sz="4" w:color="D8D2DE"/>
              <w:bottom w:val="single" w:sz="4" w:color="D8D2DE"/>
              <w:right w:val="single" w:sz="4" w:color="D8D2DE"/>
            </w:tcBorders>
          </w:tcPr>
          <w:p>
            <w:r>
              <w:rPr>
                <w:rFonts w:ascii="Aptos" w:hAnsi="Aptos"/>
                <w:sz w:val="17"/>
              </w:rPr>
              <w:t>The selected Trust Services Category that brought the criterion into scope.</w:t>
            </w:r>
          </w:p>
        </w:tc>
      </w:tr>
      <w:tr>
        <w:tc>
          <w:tcPr>
            <w:tcW w:type="dxa" w:w="2736"/>
            <w:vAlign w:val="top"/>
            <w:tcBorders>
              <w:top w:val="single" w:sz="4" w:color="D8D2DE"/>
              <w:left w:val="single" w:sz="4" w:color="D8D2DE"/>
              <w:bottom w:val="single" w:sz="4" w:color="D8D2DE"/>
              <w:right w:val="single" w:sz="4" w:color="D8D2DE"/>
            </w:tcBorders>
          </w:tcPr>
          <w:p>
            <w:r>
              <w:rPr>
                <w:rFonts w:ascii="Aptos" w:hAnsi="Aptos"/>
                <w:sz w:val="17"/>
              </w:rPr>
              <w:t>Selected count</w:t>
            </w:r>
          </w:p>
        </w:tc>
        <w:tc>
          <w:tcPr>
            <w:tcW w:type="dxa" w:w="8064"/>
            <w:vAlign w:val="top"/>
            <w:tcBorders>
              <w:top w:val="single" w:sz="4" w:color="D8D2DE"/>
              <w:left w:val="single" w:sz="4" w:color="D8D2DE"/>
              <w:bottom w:val="single" w:sz="4" w:color="D8D2DE"/>
              <w:right w:val="single" w:sz="4" w:color="D8D2DE"/>
            </w:tcBorders>
          </w:tcPr>
          <w:p>
            <w:r>
              <w:rPr>
                <w:rFonts w:ascii="Aptos" w:hAnsi="Aptos"/>
                <w:sz w:val="17"/>
              </w:rPr>
              <w:t>Organisation controls management has explicitly selected for this criterion.</w:t>
            </w:r>
          </w:p>
        </w:tc>
      </w:tr>
      <w:tr>
        <w:tc>
          <w:tcPr>
            <w:tcW w:type="dxa" w:w="2736"/>
            <w:vAlign w:val="top"/>
            <w:tcBorders>
              <w:top w:val="single" w:sz="4" w:color="D8D2DE"/>
              <w:left w:val="single" w:sz="4" w:color="D8D2DE"/>
              <w:bottom w:val="single" w:sz="4" w:color="D8D2DE"/>
              <w:right w:val="single" w:sz="4" w:color="D8D2DE"/>
            </w:tcBorders>
          </w:tcPr>
          <w:p>
            <w:r>
              <w:rPr>
                <w:rFonts w:ascii="Aptos" w:hAnsi="Aptos"/>
                <w:sz w:val="17"/>
              </w:rPr>
              <w:t>Candidate count</w:t>
            </w:r>
          </w:p>
        </w:tc>
        <w:tc>
          <w:tcPr>
            <w:tcW w:type="dxa" w:w="8064"/>
            <w:vAlign w:val="top"/>
            <w:tcBorders>
              <w:top w:val="single" w:sz="4" w:color="D8D2DE"/>
              <w:left w:val="single" w:sz="4" w:color="D8D2DE"/>
              <w:bottom w:val="single" w:sz="4" w:color="D8D2DE"/>
              <w:right w:val="single" w:sz="4" w:color="D8D2DE"/>
            </w:tcBorders>
          </w:tcPr>
          <w:p>
            <w:r>
              <w:rPr>
                <w:rFonts w:ascii="Aptos" w:hAnsi="Aptos"/>
                <w:sz w:val="17"/>
              </w:rPr>
              <w:t>PurpleWASP candidate mappings available for consideration.</w:t>
            </w:r>
          </w:p>
        </w:tc>
      </w:tr>
      <w:tr>
        <w:tc>
          <w:tcPr>
            <w:tcW w:type="dxa" w:w="2736"/>
            <w:vAlign w:val="top"/>
            <w:tcBorders>
              <w:top w:val="single" w:sz="4" w:color="D8D2DE"/>
              <w:left w:val="single" w:sz="4" w:color="D8D2DE"/>
              <w:bottom w:val="single" w:sz="4" w:color="D8D2DE"/>
              <w:right w:val="single" w:sz="4" w:color="D8D2DE"/>
            </w:tcBorders>
          </w:tcPr>
          <w:p>
            <w:r>
              <w:rPr>
                <w:rFonts w:ascii="Aptos" w:hAnsi="Aptos"/>
                <w:sz w:val="17"/>
              </w:rPr>
              <w:t>Adopted candidate count</w:t>
            </w:r>
          </w:p>
        </w:tc>
        <w:tc>
          <w:tcPr>
            <w:tcW w:type="dxa" w:w="8064"/>
            <w:vAlign w:val="top"/>
            <w:tcBorders>
              <w:top w:val="single" w:sz="4" w:color="D8D2DE"/>
              <w:left w:val="single" w:sz="4" w:color="D8D2DE"/>
              <w:bottom w:val="single" w:sz="4" w:color="D8D2DE"/>
              <w:right w:val="single" w:sz="4" w:color="D8D2DE"/>
            </w:tcBorders>
          </w:tcPr>
          <w:p>
            <w:r>
              <w:rPr>
                <w:rFonts w:ascii="Aptos" w:hAnsi="Aptos"/>
                <w:sz w:val="17"/>
              </w:rPr>
              <w:t>Candidate controls already adopted into the organisation Control Management model.</w:t>
            </w:r>
          </w:p>
        </w:tc>
      </w:tr>
      <w:tr>
        <w:tc>
          <w:tcPr>
            <w:tcW w:type="dxa" w:w="2736"/>
            <w:vAlign w:val="top"/>
            <w:tcBorders>
              <w:top w:val="single" w:sz="4" w:color="D8D2DE"/>
              <w:left w:val="single" w:sz="4" w:color="D8D2DE"/>
              <w:bottom w:val="single" w:sz="4" w:color="D8D2DE"/>
              <w:right w:val="single" w:sz="4" w:color="D8D2DE"/>
            </w:tcBorders>
          </w:tcPr>
          <w:p>
            <w:r>
              <w:rPr>
                <w:rFonts w:ascii="Aptos" w:hAnsi="Aptos"/>
                <w:sz w:val="17"/>
              </w:rPr>
              <w:t>Status</w:t>
            </w:r>
          </w:p>
        </w:tc>
        <w:tc>
          <w:tcPr>
            <w:tcW w:type="dxa" w:w="8064"/>
            <w:vAlign w:val="top"/>
            <w:tcBorders>
              <w:top w:val="single" w:sz="4" w:color="D8D2DE"/>
              <w:left w:val="single" w:sz="4" w:color="D8D2DE"/>
              <w:bottom w:val="single" w:sz="4" w:color="D8D2DE"/>
              <w:right w:val="single" w:sz="4" w:color="D8D2DE"/>
            </w:tcBorders>
          </w:tcPr>
          <w:p>
            <w:r>
              <w:rPr>
                <w:rFonts w:ascii="Aptos" w:hAnsi="Aptos"/>
                <w:sz w:val="17"/>
              </w:rPr>
              <w:t>Current criterion readiness/coverage status derived from the underlying state.</w:t>
            </w:r>
          </w:p>
        </w:tc>
      </w:tr>
    </w:tbl>
    <w:p>
      <w:pPr>
        <w:spacing w:after="20"/>
      </w:pPr>
    </w:p>
    <w:p>
      <w:pPr>
        <w:pStyle w:val="Heading2"/>
      </w:pPr>
      <w:r>
        <w:rPr>
          <w:rFonts w:ascii="Aptos" w:hAnsi="Aptos"/>
          <w:b/>
          <w:color w:val="24152E"/>
          <w:sz w:val="28"/>
        </w:rPr>
        <w:t>11.2 Expand controls only when you need detail</w:t>
      </w:r>
    </w:p>
    <w:p>
      <w:pPr>
        <w:spacing w:after="80"/>
        <w:ind w:left="259" w:hanging="259"/>
      </w:pPr>
      <w:r>
        <w:rPr>
          <w:rFonts w:ascii="Aptos" w:hAnsi="Aptos"/>
          <w:b/>
          <w:color w:val="4B0983"/>
        </w:rPr>
        <w:t xml:space="preserve">1. </w:t>
      </w:r>
      <w:r>
        <w:rPr>
          <w:rFonts w:ascii="Aptos" w:hAnsi="Aptos"/>
          <w:b/>
        </w:rPr>
        <w:t xml:space="preserve">Choose View controls. </w:t>
      </w:r>
      <w:r>
        <w:rPr>
          <w:rFonts w:ascii="Aptos" w:hAnsi="Aptos"/>
        </w:rPr>
        <w:t>The row expands inline instead of making the whole matrix permanently tall.</w:t>
      </w:r>
    </w:p>
    <w:p>
      <w:pPr>
        <w:spacing w:after="80"/>
        <w:ind w:left="259" w:hanging="259"/>
      </w:pPr>
      <w:r>
        <w:rPr>
          <w:rFonts w:ascii="Aptos" w:hAnsi="Aptos"/>
          <w:b/>
          <w:color w:val="4B0983"/>
        </w:rPr>
        <w:t xml:space="preserve">2. </w:t>
      </w:r>
      <w:r>
        <w:rPr>
          <w:rFonts w:ascii="Aptos" w:hAnsi="Aptos"/>
          <w:b/>
        </w:rPr>
        <w:t xml:space="preserve">Review each candidate control. </w:t>
      </w:r>
      <w:r>
        <w:rPr>
          <w:rFonts w:ascii="Aptos" w:hAnsi="Aptos"/>
        </w:rPr>
        <w:t>Check code/name, domain, mapping strength and whether the control is already adopted.</w:t>
      </w:r>
    </w:p>
    <w:p>
      <w:pPr>
        <w:spacing w:after="80"/>
        <w:ind w:left="259" w:hanging="259"/>
      </w:pPr>
      <w:r>
        <w:rPr>
          <w:rFonts w:ascii="Aptos" w:hAnsi="Aptos"/>
          <w:b/>
          <w:color w:val="4B0983"/>
        </w:rPr>
        <w:t xml:space="preserve">3. </w:t>
      </w:r>
      <w:r>
        <w:rPr>
          <w:rFonts w:ascii="Aptos" w:hAnsi="Aptos"/>
          <w:b/>
        </w:rPr>
        <w:t xml:space="preserve">If not adopted, choose Review / adopt. </w:t>
      </w:r>
      <w:r>
        <w:rPr>
          <w:rFonts w:ascii="Aptos" w:hAnsi="Aptos"/>
        </w:rPr>
        <w:t>This moves the decision into Control Management; adoption is not the same as SOC 2 coverage selection.</w:t>
      </w:r>
    </w:p>
    <w:p>
      <w:pPr>
        <w:spacing w:after="80"/>
        <w:ind w:left="259" w:hanging="259"/>
      </w:pPr>
      <w:r>
        <w:rPr>
          <w:rFonts w:ascii="Aptos" w:hAnsi="Aptos"/>
          <w:b/>
          <w:color w:val="4B0983"/>
        </w:rPr>
        <w:t xml:space="preserve">4. </w:t>
      </w:r>
      <w:r>
        <w:rPr>
          <w:rFonts w:ascii="Aptos" w:hAnsi="Aptos"/>
          <w:b/>
        </w:rPr>
        <w:t xml:space="preserve">If adopted, use Manage coverage decision. </w:t>
      </w:r>
      <w:r>
        <w:rPr>
          <w:rFonts w:ascii="Aptos" w:hAnsi="Aptos"/>
        </w:rPr>
        <w:t>This takes you to the Control Coverage Plan for the explicit criterion-to-control selection.</w:t>
      </w:r>
    </w:p>
    <w:p>
      <w:pPr>
        <w:spacing w:after="80"/>
        <w:ind w:left="259" w:hanging="259"/>
      </w:pPr>
      <w:r>
        <w:rPr>
          <w:rFonts w:ascii="Aptos" w:hAnsi="Aptos"/>
          <w:b/>
          <w:color w:val="4B0983"/>
        </w:rPr>
        <w:t xml:space="preserve">5. </w:t>
      </w:r>
      <w:r>
        <w:rPr>
          <w:rFonts w:ascii="Aptos" w:hAnsi="Aptos"/>
          <w:b/>
        </w:rPr>
        <w:t xml:space="preserve">If selected, open Implementation Workbench. </w:t>
      </w:r>
      <w:r>
        <w:rPr>
          <w:rFonts w:ascii="Aptos" w:hAnsi="Aptos"/>
        </w:rPr>
        <w:t>This is where the actual organisation-control operation is documented.</w:t>
      </w:r>
    </w:p>
    <w:tbl>
      <w:tblPr>
        <w:tblW w:type="auto" w:w="0"/>
        <w:jc w:val="center"/>
        <w:tblLayout w:type="autofit"/>
        <w:tblLook w:firstColumn="1" w:firstRow="1" w:lastColumn="0" w:lastRow="0" w:noHBand="0" w:noVBand="1" w:val="04A0"/>
      </w:tblPr>
      <w:tblGrid>
        <w:gridCol w:w="9994"/>
      </w:tblGrid>
      <w:tr>
        <w:tc>
          <w:tcPr>
            <w:tcW w:type="dxa" w:w="9994"/>
            <w:shd w:fill="FFF7E6"/>
            <w:tcBorders>
              <w:top w:val="nil"/>
              <w:left w:val="single" w:sz="18" w:color="A46400"/>
              <w:bottom w:val="nil"/>
              <w:right w:val="nil"/>
            </w:tcBorders>
          </w:tcPr>
          <w:p>
            <w:pPr>
              <w:spacing w:after="60"/>
            </w:pPr>
            <w:r>
              <w:rPr>
                <w:rFonts w:ascii="Aptos" w:hAnsi="Aptos"/>
                <w:b/>
                <w:color w:val="A46400"/>
                <w:sz w:val="21"/>
              </w:rPr>
              <w:t>Candidate is not selected.</w:t>
            </w:r>
          </w:p>
          <w:p>
            <w:pPr>
              <w:spacing w:after="0"/>
            </w:pPr>
            <w:r>
              <w:rPr>
                <w:rFonts w:ascii="Aptos" w:hAnsi="Aptos"/>
                <w:sz w:val="19"/>
              </w:rPr>
              <w:t>A candidate mapping remains advisory. It does not enter the readiness conclusion merely because PurpleWASP knows the control could support the criterion.</w:t>
            </w:r>
          </w:p>
        </w:tc>
      </w:tr>
    </w:tbl>
    <w:p>
      <w:pPr>
        <w:spacing w:after="20"/>
      </w:pPr>
    </w:p>
    <w:p>
      <w:r>
        <w:br w:type="page"/>
      </w:r>
    </w:p>
    <w:p>
      <w:pPr>
        <w:pStyle w:val="Heading1"/>
      </w:pPr>
      <w:r>
        <w:rPr>
          <w:rFonts w:ascii="Aptos" w:hAnsi="Aptos"/>
          <w:b/>
          <w:color w:val="4B0983"/>
          <w:sz w:val="38"/>
        </w:rPr>
        <w:t>12. Adopting controls and building the Control Coverage Plan</w:t>
      </w:r>
    </w:p>
    <w:p>
      <w:pPr>
        <w:spacing w:after="100"/>
      </w:pPr>
      <w:r>
        <w:rPr>
          <w:rFonts w:ascii="Aptos" w:hAnsi="Aptos"/>
        </w:rPr>
        <w:t>Goal: explicitly identify the organisation controls management intends to rely on for each criterion. The coverage plan is the bridge between the framework and your operational Control Management records.</w:t>
      </w:r>
    </w:p>
    <w:p>
      <w:pPr>
        <w:jc w:val="center"/>
      </w:pPr>
      <w:r>
        <w:drawing>
          <wp:inline xmlns:a="http://schemas.openxmlformats.org/drawingml/2006/main" xmlns:pic="http://schemas.openxmlformats.org/drawingml/2006/picture">
            <wp:extent cx="6263640" cy="3805907"/>
            <wp:docPr id="8" name="Picture 8" descr="Figure 8. Illustrative Control Coverage Plan. Management selects adopted organisation controls; candidate mappings remain advisory."/>
            <wp:cNvGraphicFramePr>
              <a:graphicFrameLocks noChangeAspect="1"/>
            </wp:cNvGraphicFramePr>
            <a:graphic>
              <a:graphicData uri="http://schemas.openxmlformats.org/drawingml/2006/picture">
                <pic:pic>
                  <pic:nvPicPr>
                    <pic:cNvPr id="0" name="08_coverage.png"/>
                    <pic:cNvPicPr/>
                  </pic:nvPicPr>
                  <pic:blipFill>
                    <a:blip r:embed="rId18"/>
                    <a:stretch>
                      <a:fillRect/>
                    </a:stretch>
                  </pic:blipFill>
                  <pic:spPr>
                    <a:xfrm>
                      <a:off x="0" y="0"/>
                      <a:ext cx="6263640" cy="3805907"/>
                    </a:xfrm>
                    <a:prstGeom prst="rect"/>
                  </pic:spPr>
                </pic:pic>
              </a:graphicData>
            </a:graphic>
          </wp:inline>
        </w:drawing>
      </w:r>
    </w:p>
    <w:p>
      <w:pPr>
        <w:spacing w:after="160"/>
        <w:jc w:val="center"/>
      </w:pPr>
      <w:r>
        <w:rPr>
          <w:rFonts w:ascii="Aptos" w:hAnsi="Aptos"/>
          <w:i/>
          <w:color w:val="6B6470"/>
          <w:sz w:val="17"/>
        </w:rPr>
        <w:t>Figure 8. Illustrative Control Coverage Plan. Management selects adopted organisation controls; candidate mappings remain advisory.</w:t>
      </w:r>
    </w:p>
    <w:p>
      <w:pPr>
        <w:pStyle w:val="Heading2"/>
      </w:pPr>
      <w:r>
        <w:rPr>
          <w:rFonts w:ascii="Aptos" w:hAnsi="Aptos"/>
          <w:b/>
          <w:color w:val="24152E"/>
          <w:sz w:val="28"/>
        </w:rPr>
        <w:t>12.1 Adopt a control before selecting it</w:t>
      </w:r>
    </w:p>
    <w:p>
      <w:pPr>
        <w:spacing w:after="80"/>
        <w:ind w:left="259" w:hanging="259"/>
      </w:pPr>
      <w:r>
        <w:rPr>
          <w:rFonts w:ascii="Aptos" w:hAnsi="Aptos"/>
          <w:b/>
          <w:color w:val="4B0983"/>
        </w:rPr>
        <w:t xml:space="preserve">1. </w:t>
      </w:r>
      <w:r>
        <w:rPr>
          <w:rFonts w:ascii="Aptos" w:hAnsi="Aptos"/>
          <w:b/>
        </w:rPr>
        <w:t xml:space="preserve">From Criteria Workspace, open Review / adopt for a candidate that your organisation actually uses or intends to use. </w:t>
      </w:r>
      <w:r>
        <w:rPr>
          <w:rFonts w:ascii="Aptos" w:hAnsi="Aptos"/>
        </w:rPr>
        <w:t>Do not adopt controls simply to make a criterion look covered.</w:t>
      </w:r>
    </w:p>
    <w:p>
      <w:pPr>
        <w:spacing w:after="80"/>
        <w:ind w:left="259" w:hanging="259"/>
      </w:pPr>
      <w:r>
        <w:rPr>
          <w:rFonts w:ascii="Aptos" w:hAnsi="Aptos"/>
          <w:b/>
          <w:color w:val="4B0983"/>
        </w:rPr>
        <w:t xml:space="preserve">2. </w:t>
      </w:r>
      <w:r>
        <w:rPr>
          <w:rFonts w:ascii="Aptos" w:hAnsi="Aptos"/>
          <w:b/>
        </w:rPr>
        <w:t xml:space="preserve">Complete the Control Management adoption workflow. </w:t>
      </w:r>
      <w:r>
        <w:rPr>
          <w:rFonts w:ascii="Aptos" w:hAnsi="Aptos"/>
        </w:rPr>
        <w:t>The adopted control becomes an organisation control that can carry implementation, evidence, tests, issues and ownership.</w:t>
      </w:r>
    </w:p>
    <w:p>
      <w:pPr>
        <w:spacing w:after="80"/>
        <w:ind w:left="259" w:hanging="259"/>
      </w:pPr>
      <w:r>
        <w:rPr>
          <w:rFonts w:ascii="Aptos" w:hAnsi="Aptos"/>
          <w:b/>
          <w:color w:val="4B0983"/>
        </w:rPr>
        <w:t xml:space="preserve">3. </w:t>
      </w:r>
      <w:r>
        <w:rPr>
          <w:rFonts w:ascii="Aptos" w:hAnsi="Aptos"/>
          <w:b/>
        </w:rPr>
        <w:t xml:space="preserve">Return to the coverage plan. </w:t>
      </w:r>
      <w:r>
        <w:rPr>
          <w:rFonts w:ascii="Aptos" w:hAnsi="Aptos"/>
        </w:rPr>
        <w:t>The adopted candidate can now be selected as SOC 2 coverage.</w:t>
      </w:r>
    </w:p>
    <w:p>
      <w:pPr>
        <w:pStyle w:val="Heading2"/>
      </w:pPr>
      <w:r>
        <w:rPr>
          <w:rFonts w:ascii="Aptos" w:hAnsi="Aptos"/>
          <w:b/>
          <w:color w:val="24152E"/>
          <w:sz w:val="28"/>
        </w:rPr>
        <w:t>12.2 Record the coverage decision</w:t>
      </w:r>
    </w:p>
    <w:tbl>
      <w:tblPr>
        <w:tblStyle w:val="TableGrid"/>
        <w:tblW w:type="auto" w:w="0"/>
        <w:jc w:val="center"/>
        <w:tblLook w:firstColumn="1" w:firstRow="1" w:lastColumn="0" w:lastRow="0" w:noHBand="0" w:noVBand="1" w:val="04A0"/>
      </w:tblPr>
      <w:tblGrid>
        <w:gridCol w:w="3331"/>
        <w:gridCol w:w="3331"/>
        <w:gridCol w:w="3331"/>
      </w:tblGrid>
      <w:tr>
        <w:tc>
          <w:tcPr>
            <w:tcW w:type="dxa" w:w="1584"/>
            <w:shd w:fill="4B0983"/>
            <w:vAlign w:val="center"/>
          </w:tcPr>
          <w:p>
            <w:pPr>
              <w:jc w:val="left"/>
            </w:pPr>
            <w:r>
              <w:rPr>
                <w:rFonts w:ascii="Aptos" w:hAnsi="Aptos"/>
                <w:b/>
                <w:color w:val="FFFFFF"/>
                <w:sz w:val="17"/>
              </w:rPr>
              <w:t>Action</w:t>
            </w:r>
          </w:p>
        </w:tc>
        <w:tc>
          <w:tcPr>
            <w:tcW w:type="dxa" w:w="4680"/>
            <w:shd w:fill="4B0983"/>
            <w:vAlign w:val="center"/>
          </w:tcPr>
          <w:p>
            <w:pPr>
              <w:jc w:val="left"/>
            </w:pPr>
            <w:r>
              <w:rPr>
                <w:rFonts w:ascii="Aptos" w:hAnsi="Aptos"/>
                <w:b/>
                <w:color w:val="FFFFFF"/>
                <w:sz w:val="17"/>
              </w:rPr>
              <w:t>Meaning</w:t>
            </w:r>
          </w:p>
        </w:tc>
        <w:tc>
          <w:tcPr>
            <w:tcW w:type="dxa" w:w="4320"/>
            <w:shd w:fill="4B0983"/>
            <w:vAlign w:val="center"/>
          </w:tcPr>
          <w:p>
            <w:pPr>
              <w:jc w:val="left"/>
            </w:pPr>
            <w:r>
              <w:rPr>
                <w:rFonts w:ascii="Aptos" w:hAnsi="Aptos"/>
                <w:b/>
                <w:color w:val="FFFFFF"/>
                <w:sz w:val="17"/>
              </w:rPr>
              <w:t>When to use it</w:t>
            </w:r>
          </w:p>
        </w:tc>
      </w:tr>
      <w:tr>
        <w:tc>
          <w:tcPr>
            <w:tcW w:type="dxa" w:w="1584"/>
            <w:vAlign w:val="top"/>
            <w:tcBorders>
              <w:top w:val="single" w:sz="4" w:color="D8D2DE"/>
              <w:left w:val="single" w:sz="4" w:color="D8D2DE"/>
              <w:bottom w:val="single" w:sz="4" w:color="D8D2DE"/>
              <w:right w:val="single" w:sz="4" w:color="D8D2DE"/>
            </w:tcBorders>
          </w:tcPr>
          <w:p>
            <w:r>
              <w:rPr>
                <w:rFonts w:ascii="Aptos" w:hAnsi="Aptos"/>
                <w:sz w:val="17"/>
              </w:rPr>
              <w:t>Use for coverage</w:t>
            </w:r>
          </w:p>
        </w:tc>
        <w:tc>
          <w:tcPr>
            <w:tcW w:type="dxa" w:w="4680"/>
            <w:vAlign w:val="top"/>
            <w:tcBorders>
              <w:top w:val="single" w:sz="4" w:color="D8D2DE"/>
              <w:left w:val="single" w:sz="4" w:color="D8D2DE"/>
              <w:bottom w:val="single" w:sz="4" w:color="D8D2DE"/>
              <w:right w:val="single" w:sz="4" w:color="D8D2DE"/>
            </w:tcBorders>
          </w:tcPr>
          <w:p>
            <w:r>
              <w:rPr>
                <w:rFonts w:ascii="Aptos" w:hAnsi="Aptos"/>
                <w:sz w:val="17"/>
              </w:rPr>
              <w:t>Management intends to rely on the organisation control for the criterion.</w:t>
            </w:r>
          </w:p>
        </w:tc>
        <w:tc>
          <w:tcPr>
            <w:tcW w:type="dxa" w:w="4320"/>
            <w:vAlign w:val="top"/>
            <w:tcBorders>
              <w:top w:val="single" w:sz="4" w:color="D8D2DE"/>
              <w:left w:val="single" w:sz="4" w:color="D8D2DE"/>
              <w:bottom w:val="single" w:sz="4" w:color="D8D2DE"/>
              <w:right w:val="single" w:sz="4" w:color="D8D2DE"/>
            </w:tcBorders>
          </w:tcPr>
          <w:p>
            <w:r>
              <w:rPr>
                <w:rFonts w:ascii="Aptos" w:hAnsi="Aptos"/>
                <w:sz w:val="17"/>
              </w:rPr>
              <w:t>The control genuinely addresses all or part of the criterion and will be operated/tested.</w:t>
            </w:r>
          </w:p>
        </w:tc>
      </w:tr>
      <w:tr>
        <w:tc>
          <w:tcPr>
            <w:tcW w:type="dxa" w:w="1584"/>
            <w:vAlign w:val="top"/>
            <w:tcBorders>
              <w:top w:val="single" w:sz="4" w:color="D8D2DE"/>
              <w:left w:val="single" w:sz="4" w:color="D8D2DE"/>
              <w:bottom w:val="single" w:sz="4" w:color="D8D2DE"/>
              <w:right w:val="single" w:sz="4" w:color="D8D2DE"/>
            </w:tcBorders>
          </w:tcPr>
          <w:p>
            <w:r>
              <w:rPr>
                <w:rFonts w:ascii="Aptos" w:hAnsi="Aptos"/>
                <w:sz w:val="17"/>
              </w:rPr>
              <w:t>Do not use</w:t>
            </w:r>
          </w:p>
        </w:tc>
        <w:tc>
          <w:tcPr>
            <w:tcW w:type="dxa" w:w="4680"/>
            <w:vAlign w:val="top"/>
            <w:tcBorders>
              <w:top w:val="single" w:sz="4" w:color="D8D2DE"/>
              <w:left w:val="single" w:sz="4" w:color="D8D2DE"/>
              <w:bottom w:val="single" w:sz="4" w:color="D8D2DE"/>
              <w:right w:val="single" w:sz="4" w:color="D8D2DE"/>
            </w:tcBorders>
          </w:tcPr>
          <w:p>
            <w:r>
              <w:rPr>
                <w:rFonts w:ascii="Aptos" w:hAnsi="Aptos"/>
                <w:sz w:val="17"/>
              </w:rPr>
              <w:t>The candidate mapping is known but management will not rely on this control for this criterion.</w:t>
            </w:r>
          </w:p>
        </w:tc>
        <w:tc>
          <w:tcPr>
            <w:tcW w:type="dxa" w:w="4320"/>
            <w:vAlign w:val="top"/>
            <w:tcBorders>
              <w:top w:val="single" w:sz="4" w:color="D8D2DE"/>
              <w:left w:val="single" w:sz="4" w:color="D8D2DE"/>
              <w:bottom w:val="single" w:sz="4" w:color="D8D2DE"/>
              <w:right w:val="single" w:sz="4" w:color="D8D2DE"/>
            </w:tcBorders>
          </w:tcPr>
          <w:p>
            <w:r>
              <w:rPr>
                <w:rFonts w:ascii="Aptos" w:hAnsi="Aptos"/>
                <w:sz w:val="17"/>
              </w:rPr>
              <w:t>Another control or control combination is the intended coverage, or the candidate is not appropriate for this service.</w:t>
            </w:r>
          </w:p>
        </w:tc>
      </w:tr>
      <w:tr>
        <w:tc>
          <w:tcPr>
            <w:tcW w:type="dxa" w:w="1584"/>
            <w:vAlign w:val="top"/>
            <w:tcBorders>
              <w:top w:val="single" w:sz="4" w:color="D8D2DE"/>
              <w:left w:val="single" w:sz="4" w:color="D8D2DE"/>
              <w:bottom w:val="single" w:sz="4" w:color="D8D2DE"/>
              <w:right w:val="single" w:sz="4" w:color="D8D2DE"/>
            </w:tcBorders>
          </w:tcPr>
          <w:p>
            <w:r>
              <w:rPr>
                <w:rFonts w:ascii="Aptos" w:hAnsi="Aptos"/>
                <w:sz w:val="17"/>
              </w:rPr>
              <w:t>Clear decision</w:t>
            </w:r>
          </w:p>
        </w:tc>
        <w:tc>
          <w:tcPr>
            <w:tcW w:type="dxa" w:w="4680"/>
            <w:vAlign w:val="top"/>
            <w:tcBorders>
              <w:top w:val="single" w:sz="4" w:color="D8D2DE"/>
              <w:left w:val="single" w:sz="4" w:color="D8D2DE"/>
              <w:bottom w:val="single" w:sz="4" w:color="D8D2DE"/>
              <w:right w:val="single" w:sz="4" w:color="D8D2DE"/>
            </w:tcBorders>
          </w:tcPr>
          <w:p>
            <w:r>
              <w:rPr>
                <w:rFonts w:ascii="Aptos" w:hAnsi="Aptos"/>
                <w:sz w:val="17"/>
              </w:rPr>
              <w:t>Return the candidate to unreviewed.</w:t>
            </w:r>
          </w:p>
        </w:tc>
        <w:tc>
          <w:tcPr>
            <w:tcW w:type="dxa" w:w="4320"/>
            <w:vAlign w:val="top"/>
            <w:tcBorders>
              <w:top w:val="single" w:sz="4" w:color="D8D2DE"/>
              <w:left w:val="single" w:sz="4" w:color="D8D2DE"/>
              <w:bottom w:val="single" w:sz="4" w:color="D8D2DE"/>
              <w:right w:val="single" w:sz="4" w:color="D8D2DE"/>
            </w:tcBorders>
          </w:tcPr>
          <w:p>
            <w:r>
              <w:rPr>
                <w:rFonts w:ascii="Aptos" w:hAnsi="Aptos"/>
                <w:sz w:val="17"/>
              </w:rPr>
              <w:t>You need to reconsider rather than preserve a selected/excluded decision.</w:t>
            </w:r>
          </w:p>
        </w:tc>
      </w:tr>
    </w:tbl>
    <w:p>
      <w:pPr>
        <w:spacing w:after="20"/>
      </w:pPr>
    </w:p>
    <w:tbl>
      <w:tblPr>
        <w:tblW w:type="auto" w:w="0"/>
        <w:jc w:val="center"/>
        <w:tblLayout w:type="autofit"/>
        <w:tblLook w:firstColumn="1" w:firstRow="1" w:lastColumn="0" w:lastRow="0" w:noHBand="0" w:noVBand="1" w:val="04A0"/>
      </w:tblPr>
      <w:tblGrid>
        <w:gridCol w:w="9994"/>
      </w:tblGrid>
      <w:tr>
        <w:tc>
          <w:tcPr>
            <w:tcW w:type="dxa" w:w="9994"/>
            <w:shd w:fill="FFF7E6"/>
            <w:tcBorders>
              <w:top w:val="nil"/>
              <w:left w:val="single" w:sz="18" w:color="A46400"/>
              <w:bottom w:val="nil"/>
              <w:right w:val="nil"/>
            </w:tcBorders>
          </w:tcPr>
          <w:p>
            <w:pPr>
              <w:spacing w:after="60"/>
            </w:pPr>
            <w:r>
              <w:rPr>
                <w:rFonts w:ascii="Aptos" w:hAnsi="Aptos"/>
                <w:b/>
                <w:color w:val="A46400"/>
                <w:sz w:val="21"/>
              </w:rPr>
              <w:t>Selected + Not Applicable is intentionally blocked.</w:t>
            </w:r>
          </w:p>
          <w:p>
            <w:pPr>
              <w:spacing w:after="0"/>
            </w:pPr>
            <w:r>
              <w:rPr>
                <w:rFonts w:ascii="Aptos" w:hAnsi="Aptos"/>
                <w:sz w:val="19"/>
              </w:rPr>
              <w:t>PurpleWASP does not allow a control that is selected for SOC 2 coverage to be marked Not Applicable in the implementation workbench. First change the coverage decision, then change applicability if that is genuinely the right conclusion.</w:t>
            </w:r>
          </w:p>
        </w:tc>
      </w:tr>
    </w:tbl>
    <w:p>
      <w:pPr>
        <w:spacing w:after="20"/>
      </w:pPr>
    </w:p>
    <w:p>
      <w:pPr>
        <w:pStyle w:val="Heading2"/>
      </w:pPr>
      <w:r>
        <w:rPr>
          <w:rFonts w:ascii="Aptos" w:hAnsi="Aptos"/>
          <w:b/>
          <w:color w:val="24152E"/>
          <w:sz w:val="28"/>
        </w:rPr>
        <w:t>12.3 Aggregate/multiple-control coverage</w:t>
      </w:r>
    </w:p>
    <w:p>
      <w:pPr>
        <w:spacing w:after="100"/>
      </w:pPr>
      <w:r>
        <w:rPr>
          <w:rFonts w:ascii="Aptos" w:hAnsi="Aptos"/>
        </w:rPr>
        <w:t>Some criteria need more than one organisation control. Where the criterion is treated as aggregate/multiple-control coverage, evaluate the control set together. Do not force one control to carry claims that are actually delivered by a combination of governance, technical and operational controls.</w:t>
      </w:r>
    </w:p>
    <w:p>
      <w:pPr>
        <w:pStyle w:val="Heading2"/>
      </w:pPr>
      <w:r>
        <w:rPr>
          <w:rFonts w:ascii="Aptos" w:hAnsi="Aptos"/>
          <w:b/>
          <w:color w:val="24152E"/>
          <w:sz w:val="28"/>
        </w:rPr>
        <w:t>12.4 Coverage-plan completion test</w:t>
      </w:r>
    </w:p>
    <w:p>
      <w:pPr>
        <w:pStyle w:val="ListBullet"/>
        <w:spacing w:after="40"/>
      </w:pPr>
      <w:r>
        <w:rPr>
          <w:rFonts w:ascii="Aptos" w:hAnsi="Aptos"/>
        </w:rPr>
        <w:t>Every applicable criterion has at least one defensible selected control or an appropriately supported coverage approach.</w:t>
      </w:r>
    </w:p>
    <w:p>
      <w:pPr>
        <w:pStyle w:val="ListBullet"/>
        <w:spacing w:after="40"/>
      </w:pPr>
      <w:r>
        <w:rPr>
          <w:rFonts w:ascii="Aptos" w:hAnsi="Aptos"/>
        </w:rPr>
        <w:t>Selected controls are adopted and operationally relevant to the confirmed system boundary.</w:t>
      </w:r>
    </w:p>
    <w:p>
      <w:pPr>
        <w:pStyle w:val="ListBullet"/>
        <w:spacing w:after="40"/>
      </w:pPr>
      <w:r>
        <w:rPr>
          <w:rFonts w:ascii="Aptos" w:hAnsi="Aptos"/>
        </w:rPr>
        <w:t>Controls you explicitly do not rely on are marked accordingly rather than left ambiguous.</w:t>
      </w:r>
    </w:p>
    <w:p>
      <w:pPr>
        <w:pStyle w:val="ListBullet"/>
        <w:spacing w:after="40"/>
      </w:pPr>
      <w:r>
        <w:rPr>
          <w:rFonts w:ascii="Aptos" w:hAnsi="Aptos"/>
        </w:rPr>
        <w:t>Any Not Applicable planning judgement is supported by rationale and is not being used to bypass a known gap.</w:t>
      </w:r>
    </w:p>
    <w:p>
      <w:r>
        <w:br w:type="page"/>
      </w:r>
    </w:p>
    <w:p>
      <w:pPr>
        <w:pStyle w:val="Heading1"/>
      </w:pPr>
      <w:r>
        <w:rPr>
          <w:rFonts w:ascii="Aptos" w:hAnsi="Aptos"/>
          <w:b/>
          <w:color w:val="4B0983"/>
          <w:sz w:val="38"/>
        </w:rPr>
        <w:t>13. Control Implementation Workbench</w:t>
      </w:r>
    </w:p>
    <w:p>
      <w:pPr>
        <w:spacing w:after="100"/>
      </w:pPr>
      <w:r>
        <w:rPr>
          <w:rFonts w:ascii="Aptos" w:hAnsi="Aptos"/>
        </w:rPr>
        <w:t>Goal: document how each selected organisation control actually operates in the scoped service. This is where a framework mapping becomes an operational control story that can be assessed, evidenced and tested.</w:t>
      </w:r>
    </w:p>
    <w:p>
      <w:pPr>
        <w:jc w:val="center"/>
      </w:pPr>
      <w:r>
        <w:drawing>
          <wp:inline xmlns:a="http://schemas.openxmlformats.org/drawingml/2006/main" xmlns:pic="http://schemas.openxmlformats.org/drawingml/2006/picture">
            <wp:extent cx="6263640" cy="3805907"/>
            <wp:docPr id="9" name="Picture 9" descr="Figure 9. Illustrative implementation and assessment workbenches."/>
            <wp:cNvGraphicFramePr>
              <a:graphicFrameLocks noChangeAspect="1"/>
            </wp:cNvGraphicFramePr>
            <a:graphic>
              <a:graphicData uri="http://schemas.openxmlformats.org/drawingml/2006/picture">
                <pic:pic>
                  <pic:nvPicPr>
                    <pic:cNvPr id="0" name="09_implementation_assessment.png"/>
                    <pic:cNvPicPr/>
                  </pic:nvPicPr>
                  <pic:blipFill>
                    <a:blip r:embed="rId19"/>
                    <a:stretch>
                      <a:fillRect/>
                    </a:stretch>
                  </pic:blipFill>
                  <pic:spPr>
                    <a:xfrm>
                      <a:off x="0" y="0"/>
                      <a:ext cx="6263640" cy="3805907"/>
                    </a:xfrm>
                    <a:prstGeom prst="rect"/>
                  </pic:spPr>
                </pic:pic>
              </a:graphicData>
            </a:graphic>
          </wp:inline>
        </w:drawing>
      </w:r>
    </w:p>
    <w:p>
      <w:pPr>
        <w:spacing w:after="160"/>
        <w:jc w:val="center"/>
      </w:pPr>
      <w:r>
        <w:rPr>
          <w:rFonts w:ascii="Aptos" w:hAnsi="Aptos"/>
          <w:i/>
          <w:color w:val="6B6470"/>
          <w:sz w:val="17"/>
        </w:rPr>
        <w:t>Figure 9. Illustrative implementation and assessment workbenches.</w:t>
      </w:r>
    </w:p>
    <w:p>
      <w:pPr>
        <w:pStyle w:val="Heading2"/>
      </w:pPr>
      <w:r>
        <w:rPr>
          <w:rFonts w:ascii="Aptos" w:hAnsi="Aptos"/>
          <w:b/>
          <w:color w:val="24152E"/>
          <w:sz w:val="28"/>
        </w:rPr>
        <w:t>13.1 Complete the control-level implementation record</w:t>
      </w:r>
    </w:p>
    <w:tbl>
      <w:tblPr>
        <w:tblStyle w:val="TableGrid"/>
        <w:tblW w:type="auto" w:w="0"/>
        <w:jc w:val="center"/>
        <w:tblLook w:firstColumn="1" w:firstRow="1" w:lastColumn="0" w:lastRow="0" w:noHBand="0" w:noVBand="1" w:val="04A0"/>
      </w:tblPr>
      <w:tblGrid>
        <w:gridCol w:w="3331"/>
        <w:gridCol w:w="3331"/>
        <w:gridCol w:w="3331"/>
      </w:tblGrid>
      <w:tr>
        <w:tc>
          <w:tcPr>
            <w:tcW w:type="dxa" w:w="2232"/>
            <w:shd w:fill="4B0983"/>
            <w:vAlign w:val="center"/>
          </w:tcPr>
          <w:p>
            <w:pPr>
              <w:jc w:val="left"/>
            </w:pPr>
            <w:r>
              <w:rPr>
                <w:rFonts w:ascii="Aptos" w:hAnsi="Aptos"/>
                <w:b/>
                <w:color w:val="FFFFFF"/>
                <w:sz w:val="17"/>
              </w:rPr>
              <w:t>Field</w:t>
            </w:r>
          </w:p>
        </w:tc>
        <w:tc>
          <w:tcPr>
            <w:tcW w:type="dxa" w:w="3312"/>
            <w:shd w:fill="4B0983"/>
            <w:vAlign w:val="center"/>
          </w:tcPr>
          <w:p>
            <w:pPr>
              <w:jc w:val="left"/>
            </w:pPr>
            <w:r>
              <w:rPr>
                <w:rFonts w:ascii="Aptos" w:hAnsi="Aptos"/>
                <w:b/>
                <w:color w:val="FFFFFF"/>
                <w:sz w:val="17"/>
              </w:rPr>
              <w:t>Allowed/current choices</w:t>
            </w:r>
          </w:p>
        </w:tc>
        <w:tc>
          <w:tcPr>
            <w:tcW w:type="dxa" w:w="5760"/>
            <w:shd w:fill="4B0983"/>
            <w:vAlign w:val="center"/>
          </w:tcPr>
          <w:p>
            <w:pPr>
              <w:jc w:val="left"/>
            </w:pPr>
            <w:r>
              <w:rPr>
                <w:rFonts w:ascii="Aptos" w:hAnsi="Aptos"/>
                <w:b/>
                <w:color w:val="FFFFFF"/>
                <w:sz w:val="17"/>
              </w:rPr>
              <w:t>Guidance</w:t>
            </w:r>
          </w:p>
        </w:tc>
      </w:tr>
      <w:tr>
        <w:tc>
          <w:tcPr>
            <w:tcW w:type="dxa" w:w="2232"/>
            <w:vAlign w:val="top"/>
            <w:tcBorders>
              <w:top w:val="single" w:sz="4" w:color="D8D2DE"/>
              <w:left w:val="single" w:sz="4" w:color="D8D2DE"/>
              <w:bottom w:val="single" w:sz="4" w:color="D8D2DE"/>
              <w:right w:val="single" w:sz="4" w:color="D8D2DE"/>
            </w:tcBorders>
          </w:tcPr>
          <w:p>
            <w:r>
              <w:rPr>
                <w:rFonts w:ascii="Aptos" w:hAnsi="Aptos"/>
                <w:sz w:val="17"/>
              </w:rPr>
              <w:t>Applicability</w:t>
            </w:r>
          </w:p>
        </w:tc>
        <w:tc>
          <w:tcPr>
            <w:tcW w:type="dxa" w:w="3312"/>
            <w:vAlign w:val="top"/>
            <w:tcBorders>
              <w:top w:val="single" w:sz="4" w:color="D8D2DE"/>
              <w:left w:val="single" w:sz="4" w:color="D8D2DE"/>
              <w:bottom w:val="single" w:sz="4" w:color="D8D2DE"/>
              <w:right w:val="single" w:sz="4" w:color="D8D2DE"/>
            </w:tcBorders>
          </w:tcPr>
          <w:p>
            <w:r>
              <w:rPr>
                <w:rFonts w:ascii="Aptos" w:hAnsi="Aptos"/>
                <w:sz w:val="17"/>
              </w:rPr>
              <w:t>Applicable; Under Review; Not Applicable</w:t>
            </w:r>
          </w:p>
        </w:tc>
        <w:tc>
          <w:tcPr>
            <w:tcW w:type="dxa" w:w="5760"/>
            <w:vAlign w:val="top"/>
            <w:tcBorders>
              <w:top w:val="single" w:sz="4" w:color="D8D2DE"/>
              <w:left w:val="single" w:sz="4" w:color="D8D2DE"/>
              <w:bottom w:val="single" w:sz="4" w:color="D8D2DE"/>
              <w:right w:val="single" w:sz="4" w:color="D8D2DE"/>
            </w:tcBorders>
          </w:tcPr>
          <w:p>
            <w:r>
              <w:rPr>
                <w:rFonts w:ascii="Aptos" w:hAnsi="Aptos"/>
                <w:sz w:val="17"/>
              </w:rPr>
              <w:t>A selected SOC 2 coverage control cannot be changed to Not Applicable until coverage selection is removed.</w:t>
            </w:r>
          </w:p>
        </w:tc>
      </w:tr>
      <w:tr>
        <w:tc>
          <w:tcPr>
            <w:tcW w:type="dxa" w:w="2232"/>
            <w:vAlign w:val="top"/>
            <w:tcBorders>
              <w:top w:val="single" w:sz="4" w:color="D8D2DE"/>
              <w:left w:val="single" w:sz="4" w:color="D8D2DE"/>
              <w:bottom w:val="single" w:sz="4" w:color="D8D2DE"/>
              <w:right w:val="single" w:sz="4" w:color="D8D2DE"/>
            </w:tcBorders>
          </w:tcPr>
          <w:p>
            <w:r>
              <w:rPr>
                <w:rFonts w:ascii="Aptos" w:hAnsi="Aptos"/>
                <w:sz w:val="17"/>
              </w:rPr>
              <w:t>Requirement level</w:t>
            </w:r>
          </w:p>
        </w:tc>
        <w:tc>
          <w:tcPr>
            <w:tcW w:type="dxa" w:w="3312"/>
            <w:vAlign w:val="top"/>
            <w:tcBorders>
              <w:top w:val="single" w:sz="4" w:color="D8D2DE"/>
              <w:left w:val="single" w:sz="4" w:color="D8D2DE"/>
              <w:bottom w:val="single" w:sz="4" w:color="D8D2DE"/>
              <w:right w:val="single" w:sz="4" w:color="D8D2DE"/>
            </w:tcBorders>
          </w:tcPr>
          <w:p>
            <w:r>
              <w:rPr>
                <w:rFonts w:ascii="Aptos" w:hAnsi="Aptos"/>
                <w:sz w:val="17"/>
              </w:rPr>
              <w:t>Required; Recommended; Optional</w:t>
            </w:r>
          </w:p>
        </w:tc>
        <w:tc>
          <w:tcPr>
            <w:tcW w:type="dxa" w:w="5760"/>
            <w:vAlign w:val="top"/>
            <w:tcBorders>
              <w:top w:val="single" w:sz="4" w:color="D8D2DE"/>
              <w:left w:val="single" w:sz="4" w:color="D8D2DE"/>
              <w:bottom w:val="single" w:sz="4" w:color="D8D2DE"/>
              <w:right w:val="single" w:sz="4" w:color="D8D2DE"/>
            </w:tcBorders>
          </w:tcPr>
          <w:p>
            <w:r>
              <w:rPr>
                <w:rFonts w:ascii="Aptos" w:hAnsi="Aptos"/>
                <w:sz w:val="17"/>
              </w:rPr>
              <w:t>Use your organisation’s actual governance treatment; this is not a replacement for criterion applicability.</w:t>
            </w:r>
          </w:p>
        </w:tc>
      </w:tr>
      <w:tr>
        <w:tc>
          <w:tcPr>
            <w:tcW w:type="dxa" w:w="2232"/>
            <w:vAlign w:val="top"/>
            <w:tcBorders>
              <w:top w:val="single" w:sz="4" w:color="D8D2DE"/>
              <w:left w:val="single" w:sz="4" w:color="D8D2DE"/>
              <w:bottom w:val="single" w:sz="4" w:color="D8D2DE"/>
              <w:right w:val="single" w:sz="4" w:color="D8D2DE"/>
            </w:tcBorders>
          </w:tcPr>
          <w:p>
            <w:r>
              <w:rPr>
                <w:rFonts w:ascii="Aptos" w:hAnsi="Aptos"/>
                <w:sz w:val="17"/>
              </w:rPr>
              <w:t>Implementation status</w:t>
            </w:r>
          </w:p>
        </w:tc>
        <w:tc>
          <w:tcPr>
            <w:tcW w:type="dxa" w:w="3312"/>
            <w:vAlign w:val="top"/>
            <w:tcBorders>
              <w:top w:val="single" w:sz="4" w:color="D8D2DE"/>
              <w:left w:val="single" w:sz="4" w:color="D8D2DE"/>
              <w:bottom w:val="single" w:sz="4" w:color="D8D2DE"/>
              <w:right w:val="single" w:sz="4" w:color="D8D2DE"/>
            </w:tcBorders>
          </w:tcPr>
          <w:p>
            <w:r>
              <w:rPr>
                <w:rFonts w:ascii="Aptos" w:hAnsi="Aptos"/>
                <w:sz w:val="17"/>
              </w:rPr>
              <w:t>Not Implemented; Planned; Partially Implemented; Implemented</w:t>
            </w:r>
          </w:p>
        </w:tc>
        <w:tc>
          <w:tcPr>
            <w:tcW w:type="dxa" w:w="5760"/>
            <w:vAlign w:val="top"/>
            <w:tcBorders>
              <w:top w:val="single" w:sz="4" w:color="D8D2DE"/>
              <w:left w:val="single" w:sz="4" w:color="D8D2DE"/>
              <w:bottom w:val="single" w:sz="4" w:color="D8D2DE"/>
              <w:right w:val="single" w:sz="4" w:color="D8D2DE"/>
            </w:tcBorders>
          </w:tcPr>
          <w:p>
            <w:r>
              <w:rPr>
                <w:rFonts w:ascii="Aptos" w:hAnsi="Aptos"/>
                <w:sz w:val="17"/>
              </w:rPr>
              <w:t>Choose the state that reflects current operation, not the target state.</w:t>
            </w:r>
          </w:p>
        </w:tc>
      </w:tr>
      <w:tr>
        <w:tc>
          <w:tcPr>
            <w:tcW w:type="dxa" w:w="2232"/>
            <w:vAlign w:val="top"/>
            <w:tcBorders>
              <w:top w:val="single" w:sz="4" w:color="D8D2DE"/>
              <w:left w:val="single" w:sz="4" w:color="D8D2DE"/>
              <w:bottom w:val="single" w:sz="4" w:color="D8D2DE"/>
              <w:right w:val="single" w:sz="4" w:color="D8D2DE"/>
            </w:tcBorders>
          </w:tcPr>
          <w:p>
            <w:r>
              <w:rPr>
                <w:rFonts w:ascii="Aptos" w:hAnsi="Aptos"/>
                <w:sz w:val="17"/>
              </w:rPr>
              <w:t>Control owner</w:t>
            </w:r>
          </w:p>
        </w:tc>
        <w:tc>
          <w:tcPr>
            <w:tcW w:type="dxa" w:w="3312"/>
            <w:vAlign w:val="top"/>
            <w:tcBorders>
              <w:top w:val="single" w:sz="4" w:color="D8D2DE"/>
              <w:left w:val="single" w:sz="4" w:color="D8D2DE"/>
              <w:bottom w:val="single" w:sz="4" w:color="D8D2DE"/>
              <w:right w:val="single" w:sz="4" w:color="D8D2DE"/>
            </w:tcBorders>
          </w:tcPr>
          <w:p>
            <w:r>
              <w:rPr>
                <w:rFonts w:ascii="Aptos" w:hAnsi="Aptos"/>
                <w:sz w:val="17"/>
              </w:rPr>
              <w:t>PurpleWASP user/principal</w:t>
            </w:r>
          </w:p>
        </w:tc>
        <w:tc>
          <w:tcPr>
            <w:tcW w:type="dxa" w:w="5760"/>
            <w:vAlign w:val="top"/>
            <w:tcBorders>
              <w:top w:val="single" w:sz="4" w:color="D8D2DE"/>
              <w:left w:val="single" w:sz="4" w:color="D8D2DE"/>
              <w:bottom w:val="single" w:sz="4" w:color="D8D2DE"/>
              <w:right w:val="single" w:sz="4" w:color="D8D2DE"/>
            </w:tcBorders>
          </w:tcPr>
          <w:p>
            <w:r>
              <w:rPr>
                <w:rFonts w:ascii="Aptos" w:hAnsi="Aptos"/>
                <w:sz w:val="17"/>
              </w:rPr>
              <w:t>Accountable for the control.</w:t>
            </w:r>
          </w:p>
        </w:tc>
      </w:tr>
      <w:tr>
        <w:tc>
          <w:tcPr>
            <w:tcW w:type="dxa" w:w="2232"/>
            <w:vAlign w:val="top"/>
            <w:tcBorders>
              <w:top w:val="single" w:sz="4" w:color="D8D2DE"/>
              <w:left w:val="single" w:sz="4" w:color="D8D2DE"/>
              <w:bottom w:val="single" w:sz="4" w:color="D8D2DE"/>
              <w:right w:val="single" w:sz="4" w:color="D8D2DE"/>
            </w:tcBorders>
          </w:tcPr>
          <w:p>
            <w:r>
              <w:rPr>
                <w:rFonts w:ascii="Aptos" w:hAnsi="Aptos"/>
                <w:sz w:val="17"/>
              </w:rPr>
              <w:t>Implementation owner</w:t>
            </w:r>
          </w:p>
        </w:tc>
        <w:tc>
          <w:tcPr>
            <w:tcW w:type="dxa" w:w="3312"/>
            <w:vAlign w:val="top"/>
            <w:tcBorders>
              <w:top w:val="single" w:sz="4" w:color="D8D2DE"/>
              <w:left w:val="single" w:sz="4" w:color="D8D2DE"/>
              <w:bottom w:val="single" w:sz="4" w:color="D8D2DE"/>
              <w:right w:val="single" w:sz="4" w:color="D8D2DE"/>
            </w:tcBorders>
          </w:tcPr>
          <w:p>
            <w:r>
              <w:rPr>
                <w:rFonts w:ascii="Aptos" w:hAnsi="Aptos"/>
                <w:sz w:val="17"/>
              </w:rPr>
              <w:t>PurpleWASP user/principal</w:t>
            </w:r>
          </w:p>
        </w:tc>
        <w:tc>
          <w:tcPr>
            <w:tcW w:type="dxa" w:w="5760"/>
            <w:vAlign w:val="top"/>
            <w:tcBorders>
              <w:top w:val="single" w:sz="4" w:color="D8D2DE"/>
              <w:left w:val="single" w:sz="4" w:color="D8D2DE"/>
              <w:bottom w:val="single" w:sz="4" w:color="D8D2DE"/>
              <w:right w:val="single" w:sz="4" w:color="D8D2DE"/>
            </w:tcBorders>
          </w:tcPr>
          <w:p>
            <w:r>
              <w:rPr>
                <w:rFonts w:ascii="Aptos" w:hAnsi="Aptos"/>
                <w:sz w:val="17"/>
              </w:rPr>
              <w:t>Person who maintains the process/technology.</w:t>
            </w:r>
          </w:p>
        </w:tc>
      </w:tr>
      <w:tr>
        <w:tc>
          <w:tcPr>
            <w:tcW w:type="dxa" w:w="2232"/>
            <w:vAlign w:val="top"/>
            <w:tcBorders>
              <w:top w:val="single" w:sz="4" w:color="D8D2DE"/>
              <w:left w:val="single" w:sz="4" w:color="D8D2DE"/>
              <w:bottom w:val="single" w:sz="4" w:color="D8D2DE"/>
              <w:right w:val="single" w:sz="4" w:color="D8D2DE"/>
            </w:tcBorders>
          </w:tcPr>
          <w:p>
            <w:r>
              <w:rPr>
                <w:rFonts w:ascii="Aptos" w:hAnsi="Aptos"/>
                <w:sz w:val="17"/>
              </w:rPr>
              <w:t>Review frequency</w:t>
            </w:r>
          </w:p>
        </w:tc>
        <w:tc>
          <w:tcPr>
            <w:tcW w:type="dxa" w:w="3312"/>
            <w:vAlign w:val="top"/>
            <w:tcBorders>
              <w:top w:val="single" w:sz="4" w:color="D8D2DE"/>
              <w:left w:val="single" w:sz="4" w:color="D8D2DE"/>
              <w:bottom w:val="single" w:sz="4" w:color="D8D2DE"/>
              <w:right w:val="single" w:sz="4" w:color="D8D2DE"/>
            </w:tcBorders>
          </w:tcPr>
          <w:p>
            <w:r>
              <w:rPr>
                <w:rFonts w:ascii="Aptos" w:hAnsi="Aptos"/>
                <w:sz w:val="17"/>
              </w:rPr>
              <w:t>1-120 months</w:t>
            </w:r>
          </w:p>
        </w:tc>
        <w:tc>
          <w:tcPr>
            <w:tcW w:type="dxa" w:w="5760"/>
            <w:vAlign w:val="top"/>
            <w:tcBorders>
              <w:top w:val="single" w:sz="4" w:color="D8D2DE"/>
              <w:left w:val="single" w:sz="4" w:color="D8D2DE"/>
              <w:bottom w:val="single" w:sz="4" w:color="D8D2DE"/>
              <w:right w:val="single" w:sz="4" w:color="D8D2DE"/>
            </w:tcBorders>
          </w:tcPr>
          <w:p>
            <w:r>
              <w:rPr>
                <w:rFonts w:ascii="Aptos" w:hAnsi="Aptos"/>
                <w:sz w:val="17"/>
              </w:rPr>
              <w:t>How often the implementation should be formally reviewed.</w:t>
            </w:r>
          </w:p>
        </w:tc>
      </w:tr>
      <w:tr>
        <w:tc>
          <w:tcPr>
            <w:tcW w:type="dxa" w:w="2232"/>
            <w:vAlign w:val="top"/>
            <w:tcBorders>
              <w:top w:val="single" w:sz="4" w:color="D8D2DE"/>
              <w:left w:val="single" w:sz="4" w:color="D8D2DE"/>
              <w:bottom w:val="single" w:sz="4" w:color="D8D2DE"/>
              <w:right w:val="single" w:sz="4" w:color="D8D2DE"/>
            </w:tcBorders>
          </w:tcPr>
          <w:p>
            <w:r>
              <w:rPr>
                <w:rFonts w:ascii="Aptos" w:hAnsi="Aptos"/>
                <w:sz w:val="17"/>
              </w:rPr>
              <w:t>Next review date</w:t>
            </w:r>
          </w:p>
        </w:tc>
        <w:tc>
          <w:tcPr>
            <w:tcW w:type="dxa" w:w="3312"/>
            <w:vAlign w:val="top"/>
            <w:tcBorders>
              <w:top w:val="single" w:sz="4" w:color="D8D2DE"/>
              <w:left w:val="single" w:sz="4" w:color="D8D2DE"/>
              <w:bottom w:val="single" w:sz="4" w:color="D8D2DE"/>
              <w:right w:val="single" w:sz="4" w:color="D8D2DE"/>
            </w:tcBorders>
          </w:tcPr>
          <w:p>
            <w:r>
              <w:rPr>
                <w:rFonts w:ascii="Aptos" w:hAnsi="Aptos"/>
                <w:sz w:val="17"/>
              </w:rPr>
              <w:t>Date</w:t>
            </w:r>
          </w:p>
        </w:tc>
        <w:tc>
          <w:tcPr>
            <w:tcW w:type="dxa" w:w="5760"/>
            <w:vAlign w:val="top"/>
            <w:tcBorders>
              <w:top w:val="single" w:sz="4" w:color="D8D2DE"/>
              <w:left w:val="single" w:sz="4" w:color="D8D2DE"/>
              <w:bottom w:val="single" w:sz="4" w:color="D8D2DE"/>
              <w:right w:val="single" w:sz="4" w:color="D8D2DE"/>
            </w:tcBorders>
          </w:tcPr>
          <w:p>
            <w:r>
              <w:rPr>
                <w:rFonts w:ascii="Aptos" w:hAnsi="Aptos"/>
                <w:sz w:val="17"/>
              </w:rPr>
              <w:t>Use to establish an operating cadence.</w:t>
            </w:r>
          </w:p>
        </w:tc>
      </w:tr>
      <w:tr>
        <w:tc>
          <w:tcPr>
            <w:tcW w:type="dxa" w:w="2232"/>
            <w:vAlign w:val="top"/>
            <w:tcBorders>
              <w:top w:val="single" w:sz="4" w:color="D8D2DE"/>
              <w:left w:val="single" w:sz="4" w:color="D8D2DE"/>
              <w:bottom w:val="single" w:sz="4" w:color="D8D2DE"/>
              <w:right w:val="single" w:sz="4" w:color="D8D2DE"/>
            </w:tcBorders>
          </w:tcPr>
          <w:p>
            <w:r>
              <w:rPr>
                <w:rFonts w:ascii="Aptos" w:hAnsi="Aptos"/>
                <w:sz w:val="17"/>
              </w:rPr>
              <w:t>Implementation statement</w:t>
            </w:r>
          </w:p>
        </w:tc>
        <w:tc>
          <w:tcPr>
            <w:tcW w:type="dxa" w:w="3312"/>
            <w:vAlign w:val="top"/>
            <w:tcBorders>
              <w:top w:val="single" w:sz="4" w:color="D8D2DE"/>
              <w:left w:val="single" w:sz="4" w:color="D8D2DE"/>
              <w:bottom w:val="single" w:sz="4" w:color="D8D2DE"/>
              <w:right w:val="single" w:sz="4" w:color="D8D2DE"/>
            </w:tcBorders>
          </w:tcPr>
          <w:p>
            <w:r>
              <w:rPr>
                <w:rFonts w:ascii="Aptos" w:hAnsi="Aptos"/>
                <w:sz w:val="17"/>
              </w:rPr>
              <w:t>Free text</w:t>
            </w:r>
          </w:p>
        </w:tc>
        <w:tc>
          <w:tcPr>
            <w:tcW w:type="dxa" w:w="5760"/>
            <w:vAlign w:val="top"/>
            <w:tcBorders>
              <w:top w:val="single" w:sz="4" w:color="D8D2DE"/>
              <w:left w:val="single" w:sz="4" w:color="D8D2DE"/>
              <w:bottom w:val="single" w:sz="4" w:color="D8D2DE"/>
              <w:right w:val="single" w:sz="4" w:color="D8D2DE"/>
            </w:tcBorders>
          </w:tcPr>
          <w:p>
            <w:r>
              <w:rPr>
                <w:rFonts w:ascii="Aptos" w:hAnsi="Aptos"/>
                <w:sz w:val="17"/>
              </w:rPr>
              <w:t>Describe systems/processes, responsibilities and key operating steps in enough detail that an assessor can understand how the control works.</w:t>
            </w:r>
          </w:p>
        </w:tc>
      </w:tr>
    </w:tbl>
    <w:p>
      <w:pPr>
        <w:spacing w:after="20"/>
      </w:pPr>
    </w:p>
    <w:p>
      <w:pPr>
        <w:pStyle w:val="Heading2"/>
      </w:pPr>
      <w:r>
        <w:rPr>
          <w:rFonts w:ascii="Aptos" w:hAnsi="Aptos"/>
          <w:b/>
          <w:color w:val="24152E"/>
          <w:sz w:val="28"/>
        </w:rPr>
        <w:t>13.2 Use the control objective and description as context</w:t>
      </w:r>
    </w:p>
    <w:p>
      <w:pPr>
        <w:spacing w:after="100"/>
      </w:pPr>
      <w:r>
        <w:rPr>
          <w:rFonts w:ascii="Aptos" w:hAnsi="Aptos"/>
        </w:rPr>
        <w:t>The objective/description section is intentionally collapsible. Read it before editing the implementation statement, but write the implementation statement in organisation-specific language. Repeating the generic control description is not evidence that the control exists.</w:t>
      </w:r>
    </w:p>
    <w:p>
      <w:pPr>
        <w:pStyle w:val="Heading2"/>
      </w:pPr>
      <w:r>
        <w:rPr>
          <w:rFonts w:ascii="Aptos" w:hAnsi="Aptos"/>
          <w:b/>
          <w:color w:val="24152E"/>
          <w:sz w:val="28"/>
        </w:rPr>
        <w:t>13.3 Record asset-specific implementation where relevant</w:t>
      </w:r>
    </w:p>
    <w:p>
      <w:pPr>
        <w:spacing w:after="100"/>
      </w:pPr>
      <w:r>
        <w:rPr>
          <w:rFonts w:ascii="Aptos" w:hAnsi="Aptos"/>
        </w:rPr>
        <w:t>If a control operates differently by asset, use the scoped asset implementation section. The asset record can carry its own applicability, requirement, implementation status and notes. This lets a control be implemented on one scoped asset but still under review on another without losing the control-wide context.</w:t>
      </w:r>
    </w:p>
    <w:tbl>
      <w:tblPr>
        <w:tblW w:type="auto" w:w="0"/>
        <w:jc w:val="center"/>
        <w:tblLayout w:type="autofit"/>
        <w:tblLook w:firstColumn="1" w:firstRow="1" w:lastColumn="0" w:lastRow="0" w:noHBand="0" w:noVBand="1" w:val="04A0"/>
      </w:tblPr>
      <w:tblGrid>
        <w:gridCol w:w="9994"/>
      </w:tblGrid>
      <w:tr>
        <w:tc>
          <w:tcPr>
            <w:tcW w:type="dxa" w:w="9994"/>
            <w:shd w:fill="EEF8F2"/>
            <w:tcBorders>
              <w:top w:val="nil"/>
              <w:left w:val="single" w:sz="18" w:color="167C46"/>
              <w:bottom w:val="nil"/>
              <w:right w:val="nil"/>
            </w:tcBorders>
          </w:tcPr>
          <w:p>
            <w:pPr>
              <w:spacing w:after="60"/>
            </w:pPr>
            <w:r>
              <w:rPr>
                <w:rFonts w:ascii="Aptos" w:hAnsi="Aptos"/>
                <w:b/>
                <w:color w:val="167C46"/>
                <w:sz w:val="21"/>
              </w:rPr>
              <w:t>Implementation statement quality test</w:t>
            </w:r>
          </w:p>
          <w:p>
            <w:pPr>
              <w:spacing w:after="0"/>
            </w:pPr>
            <w:r>
              <w:rPr>
                <w:rFonts w:ascii="Aptos" w:hAnsi="Aptos"/>
                <w:sz w:val="19"/>
              </w:rPr>
              <w:t>A new assessor should be able to answer: who performs the control, what exactly they do, which systems/processes are involved, how often it happens, what output is produced, and what happens when the control fails.</w:t>
            </w:r>
          </w:p>
        </w:tc>
      </w:tr>
    </w:tbl>
    <w:p>
      <w:pPr>
        <w:spacing w:after="20"/>
      </w:pPr>
    </w:p>
    <w:p>
      <w:r>
        <w:br w:type="page"/>
      </w:r>
    </w:p>
    <w:p>
      <w:pPr>
        <w:pStyle w:val="Heading1"/>
      </w:pPr>
      <w:r>
        <w:rPr>
          <w:rFonts w:ascii="Aptos" w:hAnsi="Aptos"/>
          <w:b/>
          <w:color w:val="4B0983"/>
          <w:sz w:val="38"/>
        </w:rPr>
        <w:t>14. Design and Operating Effectiveness Assessments</w:t>
      </w:r>
    </w:p>
    <w:p>
      <w:pPr>
        <w:spacing w:after="100"/>
      </w:pPr>
      <w:r>
        <w:rPr>
          <w:rFonts w:ascii="Aptos" w:hAnsi="Aptos"/>
        </w:rPr>
        <w:t>Goal: record an assessment conclusion separately from the implementation statement. PurpleWASP supports control-wide or asset-specific assessment context and Design, Operating or Combined assessment types.</w:t>
      </w:r>
    </w:p>
    <w:p>
      <w:pPr>
        <w:pStyle w:val="Heading2"/>
      </w:pPr>
      <w:r>
        <w:rPr>
          <w:rFonts w:ascii="Aptos" w:hAnsi="Aptos"/>
          <w:b/>
          <w:color w:val="24152E"/>
          <w:sz w:val="28"/>
        </w:rPr>
        <w:t>14.1 Choose the assessment scope</w:t>
      </w:r>
    </w:p>
    <w:p>
      <w:pPr>
        <w:pStyle w:val="ListBullet"/>
        <w:spacing w:after="40"/>
      </w:pPr>
      <w:r>
        <w:rPr>
          <w:rFonts w:ascii="Aptos" w:hAnsi="Aptos"/>
          <w:b/>
        </w:rPr>
        <w:t xml:space="preserve">Control-wide: </w:t>
      </w:r>
      <w:r>
        <w:rPr>
          <w:rFonts w:ascii="Aptos" w:hAnsi="Aptos"/>
        </w:rPr>
        <w:t>Use when the assessment conclusion applies to the control across the scoped implementation.</w:t>
      </w:r>
    </w:p>
    <w:p>
      <w:pPr>
        <w:pStyle w:val="ListBullet"/>
        <w:spacing w:after="40"/>
      </w:pPr>
      <w:r>
        <w:rPr>
          <w:rFonts w:ascii="Aptos" w:hAnsi="Aptos"/>
          <w:b/>
        </w:rPr>
        <w:t xml:space="preserve">Asset-specific: </w:t>
      </w:r>
      <w:r>
        <w:rPr>
          <w:rFonts w:ascii="Aptos" w:hAnsi="Aptos"/>
        </w:rPr>
        <w:t>Available only where an explicit active asset implementation row exists. Use when effectiveness differs materially by asset.</w:t>
      </w:r>
    </w:p>
    <w:p>
      <w:pPr>
        <w:pStyle w:val="Heading2"/>
      </w:pPr>
      <w:r>
        <w:rPr>
          <w:rFonts w:ascii="Aptos" w:hAnsi="Aptos"/>
          <w:b/>
          <w:color w:val="24152E"/>
          <w:sz w:val="28"/>
        </w:rPr>
        <w:t>14.2 Choose the assessment type</w:t>
      </w:r>
    </w:p>
    <w:tbl>
      <w:tblPr>
        <w:tblStyle w:val="TableGrid"/>
        <w:tblW w:type="auto" w:w="0"/>
        <w:jc w:val="center"/>
        <w:tblLook w:firstColumn="1" w:firstRow="1" w:lastColumn="0" w:lastRow="0" w:noHBand="0" w:noVBand="1" w:val="04A0"/>
      </w:tblPr>
      <w:tblGrid>
        <w:gridCol w:w="3331"/>
        <w:gridCol w:w="3331"/>
        <w:gridCol w:w="3331"/>
      </w:tblGrid>
      <w:tr>
        <w:tc>
          <w:tcPr>
            <w:tcW w:type="dxa" w:w="1584"/>
            <w:shd w:fill="4B0983"/>
            <w:vAlign w:val="center"/>
          </w:tcPr>
          <w:p>
            <w:pPr>
              <w:jc w:val="left"/>
            </w:pPr>
            <w:r>
              <w:rPr>
                <w:rFonts w:ascii="Aptos" w:hAnsi="Aptos"/>
                <w:b/>
                <w:color w:val="FFFFFF"/>
                <w:sz w:val="17"/>
              </w:rPr>
              <w:t>Type</w:t>
            </w:r>
          </w:p>
        </w:tc>
        <w:tc>
          <w:tcPr>
            <w:tcW w:type="dxa" w:w="6264"/>
            <w:shd w:fill="4B0983"/>
            <w:vAlign w:val="center"/>
          </w:tcPr>
          <w:p>
            <w:pPr>
              <w:jc w:val="left"/>
            </w:pPr>
            <w:r>
              <w:rPr>
                <w:rFonts w:ascii="Aptos" w:hAnsi="Aptos"/>
                <w:b/>
                <w:color w:val="FFFFFF"/>
                <w:sz w:val="17"/>
              </w:rPr>
              <w:t>Question being answered</w:t>
            </w:r>
          </w:p>
        </w:tc>
        <w:tc>
          <w:tcPr>
            <w:tcW w:type="dxa" w:w="3456"/>
            <w:shd w:fill="4B0983"/>
            <w:vAlign w:val="center"/>
          </w:tcPr>
          <w:p>
            <w:pPr>
              <w:jc w:val="left"/>
            </w:pPr>
            <w:r>
              <w:rPr>
                <w:rFonts w:ascii="Aptos" w:hAnsi="Aptos"/>
                <w:b/>
                <w:color w:val="FFFFFF"/>
                <w:sz w:val="17"/>
              </w:rPr>
              <w:t>Percentage fields</w:t>
            </w:r>
          </w:p>
        </w:tc>
      </w:tr>
      <w:tr>
        <w:tc>
          <w:tcPr>
            <w:tcW w:type="dxa" w:w="1584"/>
            <w:vAlign w:val="top"/>
            <w:tcBorders>
              <w:top w:val="single" w:sz="4" w:color="D8D2DE"/>
              <w:left w:val="single" w:sz="4" w:color="D8D2DE"/>
              <w:bottom w:val="single" w:sz="4" w:color="D8D2DE"/>
              <w:right w:val="single" w:sz="4" w:color="D8D2DE"/>
            </w:tcBorders>
          </w:tcPr>
          <w:p>
            <w:r>
              <w:rPr>
                <w:rFonts w:ascii="Aptos" w:hAnsi="Aptos"/>
                <w:sz w:val="17"/>
              </w:rPr>
              <w:t>Design</w:t>
            </w:r>
          </w:p>
        </w:tc>
        <w:tc>
          <w:tcPr>
            <w:tcW w:type="dxa" w:w="6264"/>
            <w:vAlign w:val="top"/>
            <w:tcBorders>
              <w:top w:val="single" w:sz="4" w:color="D8D2DE"/>
              <w:left w:val="single" w:sz="4" w:color="D8D2DE"/>
              <w:bottom w:val="single" w:sz="4" w:color="D8D2DE"/>
              <w:right w:val="single" w:sz="4" w:color="D8D2DE"/>
            </w:tcBorders>
          </w:tcPr>
          <w:p>
            <w:r>
              <w:rPr>
                <w:rFonts w:ascii="Aptos" w:hAnsi="Aptos"/>
                <w:sz w:val="17"/>
              </w:rPr>
              <w:t>Is the control suitably designed to address the intended objective/criterion?</w:t>
            </w:r>
          </w:p>
        </w:tc>
        <w:tc>
          <w:tcPr>
            <w:tcW w:type="dxa" w:w="3456"/>
            <w:vAlign w:val="top"/>
            <w:tcBorders>
              <w:top w:val="single" w:sz="4" w:color="D8D2DE"/>
              <w:left w:val="single" w:sz="4" w:color="D8D2DE"/>
              <w:bottom w:val="single" w:sz="4" w:color="D8D2DE"/>
              <w:right w:val="single" w:sz="4" w:color="D8D2DE"/>
            </w:tcBorders>
          </w:tcPr>
          <w:p>
            <w:r>
              <w:rPr>
                <w:rFonts w:ascii="Aptos" w:hAnsi="Aptos"/>
                <w:sz w:val="17"/>
              </w:rPr>
              <w:t>Design effectiveness shown; operating effectiveness hidden/disabled.</w:t>
            </w:r>
          </w:p>
        </w:tc>
      </w:tr>
      <w:tr>
        <w:tc>
          <w:tcPr>
            <w:tcW w:type="dxa" w:w="1584"/>
            <w:vAlign w:val="top"/>
            <w:tcBorders>
              <w:top w:val="single" w:sz="4" w:color="D8D2DE"/>
              <w:left w:val="single" w:sz="4" w:color="D8D2DE"/>
              <w:bottom w:val="single" w:sz="4" w:color="D8D2DE"/>
              <w:right w:val="single" w:sz="4" w:color="D8D2DE"/>
            </w:tcBorders>
          </w:tcPr>
          <w:p>
            <w:r>
              <w:rPr>
                <w:rFonts w:ascii="Aptos" w:hAnsi="Aptos"/>
                <w:sz w:val="17"/>
              </w:rPr>
              <w:t>Operating</w:t>
            </w:r>
          </w:p>
        </w:tc>
        <w:tc>
          <w:tcPr>
            <w:tcW w:type="dxa" w:w="6264"/>
            <w:vAlign w:val="top"/>
            <w:tcBorders>
              <w:top w:val="single" w:sz="4" w:color="D8D2DE"/>
              <w:left w:val="single" w:sz="4" w:color="D8D2DE"/>
              <w:bottom w:val="single" w:sz="4" w:color="D8D2DE"/>
              <w:right w:val="single" w:sz="4" w:color="D8D2DE"/>
            </w:tcBorders>
          </w:tcPr>
          <w:p>
            <w:r>
              <w:rPr>
                <w:rFonts w:ascii="Aptos" w:hAnsi="Aptos"/>
                <w:sz w:val="17"/>
              </w:rPr>
              <w:t>Did the control operate as intended during the relevant period or sample?</w:t>
            </w:r>
          </w:p>
        </w:tc>
        <w:tc>
          <w:tcPr>
            <w:tcW w:type="dxa" w:w="3456"/>
            <w:vAlign w:val="top"/>
            <w:tcBorders>
              <w:top w:val="single" w:sz="4" w:color="D8D2DE"/>
              <w:left w:val="single" w:sz="4" w:color="D8D2DE"/>
              <w:bottom w:val="single" w:sz="4" w:color="D8D2DE"/>
              <w:right w:val="single" w:sz="4" w:color="D8D2DE"/>
            </w:tcBorders>
          </w:tcPr>
          <w:p>
            <w:r>
              <w:rPr>
                <w:rFonts w:ascii="Aptos" w:hAnsi="Aptos"/>
                <w:sz w:val="17"/>
              </w:rPr>
              <w:t>Operating effectiveness shown; design effectiveness hidden/disabled.</w:t>
            </w:r>
          </w:p>
        </w:tc>
      </w:tr>
      <w:tr>
        <w:tc>
          <w:tcPr>
            <w:tcW w:type="dxa" w:w="1584"/>
            <w:vAlign w:val="top"/>
            <w:tcBorders>
              <w:top w:val="single" w:sz="4" w:color="D8D2DE"/>
              <w:left w:val="single" w:sz="4" w:color="D8D2DE"/>
              <w:bottom w:val="single" w:sz="4" w:color="D8D2DE"/>
              <w:right w:val="single" w:sz="4" w:color="D8D2DE"/>
            </w:tcBorders>
          </w:tcPr>
          <w:p>
            <w:r>
              <w:rPr>
                <w:rFonts w:ascii="Aptos" w:hAnsi="Aptos"/>
                <w:sz w:val="17"/>
              </w:rPr>
              <w:t>Combined</w:t>
            </w:r>
          </w:p>
        </w:tc>
        <w:tc>
          <w:tcPr>
            <w:tcW w:type="dxa" w:w="6264"/>
            <w:vAlign w:val="top"/>
            <w:tcBorders>
              <w:top w:val="single" w:sz="4" w:color="D8D2DE"/>
              <w:left w:val="single" w:sz="4" w:color="D8D2DE"/>
              <w:bottom w:val="single" w:sz="4" w:color="D8D2DE"/>
              <w:right w:val="single" w:sz="4" w:color="D8D2DE"/>
            </w:tcBorders>
          </w:tcPr>
          <w:p>
            <w:r>
              <w:rPr>
                <w:rFonts w:ascii="Aptos" w:hAnsi="Aptos"/>
                <w:sz w:val="17"/>
              </w:rPr>
              <w:t>What is the combined conclusion across design and operation?</w:t>
            </w:r>
          </w:p>
        </w:tc>
        <w:tc>
          <w:tcPr>
            <w:tcW w:type="dxa" w:w="3456"/>
            <w:vAlign w:val="top"/>
            <w:tcBorders>
              <w:top w:val="single" w:sz="4" w:color="D8D2DE"/>
              <w:left w:val="single" w:sz="4" w:color="D8D2DE"/>
              <w:bottom w:val="single" w:sz="4" w:color="D8D2DE"/>
              <w:right w:val="single" w:sz="4" w:color="D8D2DE"/>
            </w:tcBorders>
          </w:tcPr>
          <w:p>
            <w:r>
              <w:rPr>
                <w:rFonts w:ascii="Aptos" w:hAnsi="Aptos"/>
                <w:sz w:val="17"/>
              </w:rPr>
              <w:t>Both design and operating fields may be used, plus overall effectiveness.</w:t>
            </w:r>
          </w:p>
        </w:tc>
      </w:tr>
    </w:tbl>
    <w:p>
      <w:pPr>
        <w:spacing w:after="20"/>
      </w:pPr>
    </w:p>
    <w:p>
      <w:pPr>
        <w:pStyle w:val="Heading2"/>
      </w:pPr>
      <w:r>
        <w:rPr>
          <w:rFonts w:ascii="Aptos" w:hAnsi="Aptos"/>
          <w:b/>
          <w:color w:val="24152E"/>
          <w:sz w:val="28"/>
        </w:rPr>
        <w:t>14.3 Complete the assessment record</w:t>
      </w:r>
    </w:p>
    <w:tbl>
      <w:tblPr>
        <w:tblStyle w:val="TableGrid"/>
        <w:tblW w:type="auto" w:w="0"/>
        <w:jc w:val="center"/>
        <w:tblLook w:firstColumn="1" w:firstRow="1" w:lastColumn="0" w:lastRow="0" w:noHBand="0" w:noVBand="1" w:val="04A0"/>
      </w:tblPr>
      <w:tblGrid>
        <w:gridCol w:w="4997"/>
        <w:gridCol w:w="4997"/>
      </w:tblGrid>
      <w:tr>
        <w:tc>
          <w:tcPr>
            <w:tcW w:type="dxa" w:w="3168"/>
            <w:shd w:fill="4B0983"/>
            <w:vAlign w:val="center"/>
          </w:tcPr>
          <w:p>
            <w:pPr>
              <w:jc w:val="left"/>
            </w:pPr>
            <w:r>
              <w:rPr>
                <w:rFonts w:ascii="Aptos" w:hAnsi="Aptos"/>
                <w:b/>
                <w:color w:val="FFFFFF"/>
                <w:sz w:val="17"/>
              </w:rPr>
              <w:t>Field</w:t>
            </w:r>
          </w:p>
        </w:tc>
        <w:tc>
          <w:tcPr>
            <w:tcW w:type="dxa" w:w="7632"/>
            <w:shd w:fill="4B0983"/>
            <w:vAlign w:val="center"/>
          </w:tcPr>
          <w:p>
            <w:pPr>
              <w:jc w:val="left"/>
            </w:pPr>
            <w:r>
              <w:rPr>
                <w:rFonts w:ascii="Aptos" w:hAnsi="Aptos"/>
                <w:b/>
                <w:color w:val="FFFFFF"/>
                <w:sz w:val="17"/>
              </w:rPr>
              <w:t>Current options / meaning</w:t>
            </w:r>
          </w:p>
        </w:tc>
      </w:tr>
      <w:tr>
        <w:tc>
          <w:tcPr>
            <w:tcW w:type="dxa" w:w="3168"/>
            <w:vAlign w:val="top"/>
            <w:tcBorders>
              <w:top w:val="single" w:sz="4" w:color="D8D2DE"/>
              <w:left w:val="single" w:sz="4" w:color="D8D2DE"/>
              <w:bottom w:val="single" w:sz="4" w:color="D8D2DE"/>
              <w:right w:val="single" w:sz="4" w:color="D8D2DE"/>
            </w:tcBorders>
          </w:tcPr>
          <w:p>
            <w:r>
              <w:rPr>
                <w:rFonts w:ascii="Aptos" w:hAnsi="Aptos"/>
                <w:sz w:val="17"/>
              </w:rPr>
              <w:t>Method</w:t>
            </w:r>
          </w:p>
        </w:tc>
        <w:tc>
          <w:tcPr>
            <w:tcW w:type="dxa" w:w="7632"/>
            <w:vAlign w:val="top"/>
            <w:tcBorders>
              <w:top w:val="single" w:sz="4" w:color="D8D2DE"/>
              <w:left w:val="single" w:sz="4" w:color="D8D2DE"/>
              <w:bottom w:val="single" w:sz="4" w:color="D8D2DE"/>
              <w:right w:val="single" w:sz="4" w:color="D8D2DE"/>
            </w:tcBorders>
          </w:tcPr>
          <w:p>
            <w:r>
              <w:rPr>
                <w:rFonts w:ascii="Aptos" w:hAnsi="Aptos"/>
                <w:sz w:val="17"/>
              </w:rPr>
              <w:t>Self; Independent; Automated; Hybrid.</w:t>
            </w:r>
          </w:p>
        </w:tc>
      </w:tr>
      <w:tr>
        <w:tc>
          <w:tcPr>
            <w:tcW w:type="dxa" w:w="3168"/>
            <w:vAlign w:val="top"/>
            <w:tcBorders>
              <w:top w:val="single" w:sz="4" w:color="D8D2DE"/>
              <w:left w:val="single" w:sz="4" w:color="D8D2DE"/>
              <w:bottom w:val="single" w:sz="4" w:color="D8D2DE"/>
              <w:right w:val="single" w:sz="4" w:color="D8D2DE"/>
            </w:tcBorders>
          </w:tcPr>
          <w:p>
            <w:r>
              <w:rPr>
                <w:rFonts w:ascii="Aptos" w:hAnsi="Aptos"/>
                <w:sz w:val="17"/>
              </w:rPr>
              <w:t>Result</w:t>
            </w:r>
          </w:p>
        </w:tc>
        <w:tc>
          <w:tcPr>
            <w:tcW w:type="dxa" w:w="7632"/>
            <w:vAlign w:val="top"/>
            <w:tcBorders>
              <w:top w:val="single" w:sz="4" w:color="D8D2DE"/>
              <w:left w:val="single" w:sz="4" w:color="D8D2DE"/>
              <w:bottom w:val="single" w:sz="4" w:color="D8D2DE"/>
              <w:right w:val="single" w:sz="4" w:color="D8D2DE"/>
            </w:tcBorders>
          </w:tcPr>
          <w:p>
            <w:r>
              <w:rPr>
                <w:rFonts w:ascii="Aptos" w:hAnsi="Aptos"/>
                <w:sz w:val="17"/>
              </w:rPr>
              <w:t>Not determined; Effective; Partially effective; Ineffective.</w:t>
            </w:r>
          </w:p>
        </w:tc>
      </w:tr>
      <w:tr>
        <w:tc>
          <w:tcPr>
            <w:tcW w:type="dxa" w:w="3168"/>
            <w:vAlign w:val="top"/>
            <w:tcBorders>
              <w:top w:val="single" w:sz="4" w:color="D8D2DE"/>
              <w:left w:val="single" w:sz="4" w:color="D8D2DE"/>
              <w:bottom w:val="single" w:sz="4" w:color="D8D2DE"/>
              <w:right w:val="single" w:sz="4" w:color="D8D2DE"/>
            </w:tcBorders>
          </w:tcPr>
          <w:p>
            <w:r>
              <w:rPr>
                <w:rFonts w:ascii="Aptos" w:hAnsi="Aptos"/>
                <w:sz w:val="17"/>
              </w:rPr>
              <w:t>Assessed at</w:t>
            </w:r>
          </w:p>
        </w:tc>
        <w:tc>
          <w:tcPr>
            <w:tcW w:type="dxa" w:w="7632"/>
            <w:vAlign w:val="top"/>
            <w:tcBorders>
              <w:top w:val="single" w:sz="4" w:color="D8D2DE"/>
              <w:left w:val="single" w:sz="4" w:color="D8D2DE"/>
              <w:bottom w:val="single" w:sz="4" w:color="D8D2DE"/>
              <w:right w:val="single" w:sz="4" w:color="D8D2DE"/>
            </w:tcBorders>
          </w:tcPr>
          <w:p>
            <w:r>
              <w:rPr>
                <w:rFonts w:ascii="Aptos" w:hAnsi="Aptos"/>
                <w:sz w:val="17"/>
              </w:rPr>
              <w:t>When the assessment was performed.</w:t>
            </w:r>
          </w:p>
        </w:tc>
      </w:tr>
      <w:tr>
        <w:tc>
          <w:tcPr>
            <w:tcW w:type="dxa" w:w="3168"/>
            <w:vAlign w:val="top"/>
            <w:tcBorders>
              <w:top w:val="single" w:sz="4" w:color="D8D2DE"/>
              <w:left w:val="single" w:sz="4" w:color="D8D2DE"/>
              <w:bottom w:val="single" w:sz="4" w:color="D8D2DE"/>
              <w:right w:val="single" w:sz="4" w:color="D8D2DE"/>
            </w:tcBorders>
          </w:tcPr>
          <w:p>
            <w:r>
              <w:rPr>
                <w:rFonts w:ascii="Aptos" w:hAnsi="Aptos"/>
                <w:sz w:val="17"/>
              </w:rPr>
              <w:t>Valid until</w:t>
            </w:r>
          </w:p>
        </w:tc>
        <w:tc>
          <w:tcPr>
            <w:tcW w:type="dxa" w:w="7632"/>
            <w:vAlign w:val="top"/>
            <w:tcBorders>
              <w:top w:val="single" w:sz="4" w:color="D8D2DE"/>
              <w:left w:val="single" w:sz="4" w:color="D8D2DE"/>
              <w:bottom w:val="single" w:sz="4" w:color="D8D2DE"/>
              <w:right w:val="single" w:sz="4" w:color="D8D2DE"/>
            </w:tcBorders>
          </w:tcPr>
          <w:p>
            <w:r>
              <w:rPr>
                <w:rFonts w:ascii="Aptos" w:hAnsi="Aptos"/>
                <w:sz w:val="17"/>
              </w:rPr>
              <w:t>Optional date for the expected currency of the assessment.</w:t>
            </w:r>
          </w:p>
        </w:tc>
      </w:tr>
      <w:tr>
        <w:tc>
          <w:tcPr>
            <w:tcW w:type="dxa" w:w="3168"/>
            <w:vAlign w:val="top"/>
            <w:tcBorders>
              <w:top w:val="single" w:sz="4" w:color="D8D2DE"/>
              <w:left w:val="single" w:sz="4" w:color="D8D2DE"/>
              <w:bottom w:val="single" w:sz="4" w:color="D8D2DE"/>
              <w:right w:val="single" w:sz="4" w:color="D8D2DE"/>
            </w:tcBorders>
          </w:tcPr>
          <w:p>
            <w:r>
              <w:rPr>
                <w:rFonts w:ascii="Aptos" w:hAnsi="Aptos"/>
                <w:sz w:val="17"/>
              </w:rPr>
              <w:t>Design / Operating / Overall effectiveness %</w:t>
            </w:r>
          </w:p>
        </w:tc>
        <w:tc>
          <w:tcPr>
            <w:tcW w:type="dxa" w:w="7632"/>
            <w:vAlign w:val="top"/>
            <w:tcBorders>
              <w:top w:val="single" w:sz="4" w:color="D8D2DE"/>
              <w:left w:val="single" w:sz="4" w:color="D8D2DE"/>
              <w:bottom w:val="single" w:sz="4" w:color="D8D2DE"/>
              <w:right w:val="single" w:sz="4" w:color="D8D2DE"/>
            </w:tcBorders>
          </w:tcPr>
          <w:p>
            <w:r>
              <w:rPr>
                <w:rFonts w:ascii="Aptos" w:hAnsi="Aptos"/>
                <w:sz w:val="17"/>
              </w:rPr>
              <w:t>Quantitative judgement where your methodology uses percentages.</w:t>
            </w:r>
          </w:p>
        </w:tc>
      </w:tr>
      <w:tr>
        <w:tc>
          <w:tcPr>
            <w:tcW w:type="dxa" w:w="3168"/>
            <w:vAlign w:val="top"/>
            <w:tcBorders>
              <w:top w:val="single" w:sz="4" w:color="D8D2DE"/>
              <w:left w:val="single" w:sz="4" w:color="D8D2DE"/>
              <w:bottom w:val="single" w:sz="4" w:color="D8D2DE"/>
              <w:right w:val="single" w:sz="4" w:color="D8D2DE"/>
            </w:tcBorders>
          </w:tcPr>
          <w:p>
            <w:r>
              <w:rPr>
                <w:rFonts w:ascii="Aptos" w:hAnsi="Aptos"/>
                <w:sz w:val="17"/>
              </w:rPr>
              <w:t>Coverage %</w:t>
            </w:r>
          </w:p>
        </w:tc>
        <w:tc>
          <w:tcPr>
            <w:tcW w:type="dxa" w:w="7632"/>
            <w:vAlign w:val="top"/>
            <w:tcBorders>
              <w:top w:val="single" w:sz="4" w:color="D8D2DE"/>
              <w:left w:val="single" w:sz="4" w:color="D8D2DE"/>
              <w:bottom w:val="single" w:sz="4" w:color="D8D2DE"/>
              <w:right w:val="single" w:sz="4" w:color="D8D2DE"/>
            </w:tcBorders>
          </w:tcPr>
          <w:p>
            <w:r>
              <w:rPr>
                <w:rFonts w:ascii="Aptos" w:hAnsi="Aptos"/>
                <w:sz w:val="17"/>
              </w:rPr>
              <w:t>How much of the intended population/scope the assessment covered.</w:t>
            </w:r>
          </w:p>
        </w:tc>
      </w:tr>
      <w:tr>
        <w:tc>
          <w:tcPr>
            <w:tcW w:type="dxa" w:w="3168"/>
            <w:vAlign w:val="top"/>
            <w:tcBorders>
              <w:top w:val="single" w:sz="4" w:color="D8D2DE"/>
              <w:left w:val="single" w:sz="4" w:color="D8D2DE"/>
              <w:bottom w:val="single" w:sz="4" w:color="D8D2DE"/>
              <w:right w:val="single" w:sz="4" w:color="D8D2DE"/>
            </w:tcBorders>
          </w:tcPr>
          <w:p>
            <w:r>
              <w:rPr>
                <w:rFonts w:ascii="Aptos" w:hAnsi="Aptos"/>
                <w:sz w:val="17"/>
              </w:rPr>
              <w:t>Confidence %</w:t>
            </w:r>
          </w:p>
        </w:tc>
        <w:tc>
          <w:tcPr>
            <w:tcW w:type="dxa" w:w="7632"/>
            <w:vAlign w:val="top"/>
            <w:tcBorders>
              <w:top w:val="single" w:sz="4" w:color="D8D2DE"/>
              <w:left w:val="single" w:sz="4" w:color="D8D2DE"/>
              <w:bottom w:val="single" w:sz="4" w:color="D8D2DE"/>
              <w:right w:val="single" w:sz="4" w:color="D8D2DE"/>
            </w:tcBorders>
          </w:tcPr>
          <w:p>
            <w:r>
              <w:rPr>
                <w:rFonts w:ascii="Aptos" w:hAnsi="Aptos"/>
                <w:sz w:val="17"/>
              </w:rPr>
              <w:t>Assessor confidence in the conclusion; document the basis in notes.</w:t>
            </w:r>
          </w:p>
        </w:tc>
      </w:tr>
      <w:tr>
        <w:tc>
          <w:tcPr>
            <w:tcW w:type="dxa" w:w="3168"/>
            <w:vAlign w:val="top"/>
            <w:tcBorders>
              <w:top w:val="single" w:sz="4" w:color="D8D2DE"/>
              <w:left w:val="single" w:sz="4" w:color="D8D2DE"/>
              <w:bottom w:val="single" w:sz="4" w:color="D8D2DE"/>
              <w:right w:val="single" w:sz="4" w:color="D8D2DE"/>
            </w:tcBorders>
          </w:tcPr>
          <w:p>
            <w:r>
              <w:rPr>
                <w:rFonts w:ascii="Aptos" w:hAnsi="Aptos"/>
                <w:sz w:val="17"/>
              </w:rPr>
              <w:t>Assessment notes</w:t>
            </w:r>
          </w:p>
        </w:tc>
        <w:tc>
          <w:tcPr>
            <w:tcW w:type="dxa" w:w="7632"/>
            <w:vAlign w:val="top"/>
            <w:tcBorders>
              <w:top w:val="single" w:sz="4" w:color="D8D2DE"/>
              <w:left w:val="single" w:sz="4" w:color="D8D2DE"/>
              <w:bottom w:val="single" w:sz="4" w:color="D8D2DE"/>
              <w:right w:val="single" w:sz="4" w:color="D8D2DE"/>
            </w:tcBorders>
          </w:tcPr>
          <w:p>
            <w:r>
              <w:rPr>
                <w:rFonts w:ascii="Aptos" w:hAnsi="Aptos"/>
                <w:sz w:val="17"/>
              </w:rPr>
              <w:t>Procedures performed, evidence reviewed, observations, limitations and conclusion.</w:t>
            </w:r>
          </w:p>
        </w:tc>
      </w:tr>
    </w:tbl>
    <w:p>
      <w:pPr>
        <w:spacing w:after="20"/>
      </w:pPr>
    </w:p>
    <w:p>
      <w:pPr>
        <w:pStyle w:val="Heading2"/>
      </w:pPr>
      <w:r>
        <w:rPr>
          <w:rFonts w:ascii="Aptos" w:hAnsi="Aptos"/>
          <w:b/>
          <w:color w:val="24152E"/>
          <w:sz w:val="28"/>
        </w:rPr>
        <w:t>14.4 Draft vs final</w:t>
      </w:r>
    </w:p>
    <w:p>
      <w:pPr>
        <w:spacing w:after="80"/>
        <w:ind w:left="259" w:hanging="259"/>
      </w:pPr>
      <w:r>
        <w:rPr>
          <w:rFonts w:ascii="Aptos" w:hAnsi="Aptos"/>
          <w:b/>
          <w:color w:val="4B0983"/>
        </w:rPr>
        <w:t xml:space="preserve">1. </w:t>
      </w:r>
      <w:r>
        <w:rPr>
          <w:rFonts w:ascii="Aptos" w:hAnsi="Aptos"/>
          <w:b/>
        </w:rPr>
        <w:t xml:space="preserve">Use Save draft while work is incomplete. </w:t>
      </w:r>
      <w:r>
        <w:rPr>
          <w:rFonts w:ascii="Aptos" w:hAnsi="Aptos"/>
        </w:rPr>
        <w:t>Draft assessments should not be treated as final readiness evidence.</w:t>
      </w:r>
    </w:p>
    <w:p>
      <w:pPr>
        <w:spacing w:after="80"/>
        <w:ind w:left="259" w:hanging="259"/>
      </w:pPr>
      <w:r>
        <w:rPr>
          <w:rFonts w:ascii="Aptos" w:hAnsi="Aptos"/>
          <w:b/>
          <w:color w:val="4B0983"/>
        </w:rPr>
        <w:t xml:space="preserve">2. </w:t>
      </w:r>
      <w:r>
        <w:rPr>
          <w:rFonts w:ascii="Aptos" w:hAnsi="Aptos"/>
          <w:b/>
        </w:rPr>
        <w:t xml:space="preserve">Use Finalize assessment when the assessor is prepared to stand behind the conclusion. </w:t>
      </w:r>
      <w:r>
        <w:rPr>
          <w:rFonts w:ascii="Aptos" w:hAnsi="Aptos"/>
        </w:rPr>
        <w:t>Operational readiness counts controls with at least one final assessment.</w:t>
      </w:r>
    </w:p>
    <w:p>
      <w:pPr>
        <w:spacing w:after="80"/>
        <w:ind w:left="259" w:hanging="259"/>
      </w:pPr>
      <w:r>
        <w:rPr>
          <w:rFonts w:ascii="Aptos" w:hAnsi="Aptos"/>
          <w:b/>
          <w:color w:val="4B0983"/>
        </w:rPr>
        <w:t xml:space="preserve">3. </w:t>
      </w:r>
      <w:r>
        <w:rPr>
          <w:rFonts w:ascii="Aptos" w:hAnsi="Aptos"/>
          <w:b/>
        </w:rPr>
        <w:t xml:space="preserve">Reassess after material control changes or when validity expires. </w:t>
      </w:r>
      <w:r>
        <w:rPr>
          <w:rFonts w:ascii="Aptos" w:hAnsi="Aptos"/>
        </w:rPr>
        <w:t>Keep history rather than overwriting the conceptual audit trail.</w:t>
      </w:r>
    </w:p>
    <w:p>
      <w:r>
        <w:br w:type="page"/>
      </w:r>
    </w:p>
    <w:p>
      <w:pPr>
        <w:pStyle w:val="Heading1"/>
      </w:pPr>
      <w:r>
        <w:rPr>
          <w:rFonts w:ascii="Aptos" w:hAnsi="Aptos"/>
          <w:b/>
          <w:color w:val="4B0983"/>
          <w:sz w:val="38"/>
        </w:rPr>
        <w:t>15. Evidence Requirements &amp; Collection</w:t>
      </w:r>
    </w:p>
    <w:p>
      <w:pPr>
        <w:spacing w:after="100"/>
      </w:pPr>
      <w:r>
        <w:rPr>
          <w:rFonts w:ascii="Aptos" w:hAnsi="Aptos"/>
        </w:rPr>
        <w:t>Goal: link reusable evidence records to selected controls while preserving what the evidence is, where it came from, what period it relates to and why it supports the control.</w:t>
      </w:r>
    </w:p>
    <w:p>
      <w:pPr>
        <w:jc w:val="center"/>
      </w:pPr>
      <w:r>
        <w:drawing>
          <wp:inline xmlns:a="http://schemas.openxmlformats.org/drawingml/2006/main" xmlns:pic="http://schemas.openxmlformats.org/drawingml/2006/picture">
            <wp:extent cx="6263640" cy="3805907"/>
            <wp:docPr id="10" name="Picture 10" descr="Figure 10. Illustrative Evidence and Testing workbenches. Temporal classification is intentionally separate from the date the item was added to PurpleWASP."/>
            <wp:cNvGraphicFramePr>
              <a:graphicFrameLocks noChangeAspect="1"/>
            </wp:cNvGraphicFramePr>
            <a:graphic>
              <a:graphicData uri="http://schemas.openxmlformats.org/drawingml/2006/picture">
                <pic:pic>
                  <pic:nvPicPr>
                    <pic:cNvPr id="0" name="10_evidence_testing.png"/>
                    <pic:cNvPicPr/>
                  </pic:nvPicPr>
                  <pic:blipFill>
                    <a:blip r:embed="rId20"/>
                    <a:stretch>
                      <a:fillRect/>
                    </a:stretch>
                  </pic:blipFill>
                  <pic:spPr>
                    <a:xfrm>
                      <a:off x="0" y="0"/>
                      <a:ext cx="6263640" cy="3805907"/>
                    </a:xfrm>
                    <a:prstGeom prst="rect"/>
                  </pic:spPr>
                </pic:pic>
              </a:graphicData>
            </a:graphic>
          </wp:inline>
        </w:drawing>
      </w:r>
    </w:p>
    <w:p>
      <w:pPr>
        <w:spacing w:after="160"/>
        <w:jc w:val="center"/>
      </w:pPr>
      <w:r>
        <w:rPr>
          <w:rFonts w:ascii="Aptos" w:hAnsi="Aptos"/>
          <w:i/>
          <w:color w:val="6B6470"/>
          <w:sz w:val="17"/>
        </w:rPr>
        <w:t>Figure 10. Illustrative Evidence and Testing workbenches. Temporal classification is intentionally separate from the date the item was added to PurpleWASP.</w:t>
      </w:r>
    </w:p>
    <w:p>
      <w:pPr>
        <w:pStyle w:val="Heading2"/>
      </w:pPr>
      <w:r>
        <w:rPr>
          <w:rFonts w:ascii="Aptos" w:hAnsi="Aptos"/>
          <w:b/>
          <w:color w:val="24152E"/>
          <w:sz w:val="28"/>
        </w:rPr>
        <w:t>15.1 Understand the evidence model</w:t>
      </w:r>
    </w:p>
    <w:p>
      <w:pPr>
        <w:pStyle w:val="ListBullet"/>
        <w:spacing w:after="40"/>
      </w:pPr>
      <w:r>
        <w:rPr>
          <w:rFonts w:ascii="Aptos" w:hAnsi="Aptos"/>
          <w:b/>
        </w:rPr>
        <w:t xml:space="preserve">Evidence record: </w:t>
      </w:r>
      <w:r>
        <w:rPr>
          <w:rFonts w:ascii="Aptos" w:hAnsi="Aptos"/>
        </w:rPr>
        <w:t>The reusable item - title, description, type, source, source timestamp, validity, storage reference, URL and status.</w:t>
      </w:r>
    </w:p>
    <w:p>
      <w:pPr>
        <w:pStyle w:val="ListBullet"/>
        <w:spacing w:after="40"/>
      </w:pPr>
      <w:r>
        <w:rPr>
          <w:rFonts w:ascii="Aptos" w:hAnsi="Aptos"/>
          <w:b/>
        </w:rPr>
        <w:t xml:space="preserve">Evidence link: </w:t>
      </w:r>
      <w:r>
        <w:rPr>
          <w:rFonts w:ascii="Aptos" w:hAnsi="Aptos"/>
        </w:rPr>
        <w:t>The relationship between that evidence item and a control - purpose, scoped asset and link notes.</w:t>
      </w:r>
    </w:p>
    <w:p>
      <w:pPr>
        <w:pStyle w:val="ListBullet"/>
        <w:spacing w:after="40"/>
      </w:pPr>
      <w:r>
        <w:rPr>
          <w:rFonts w:ascii="Aptos" w:hAnsi="Aptos"/>
          <w:b/>
        </w:rPr>
        <w:t xml:space="preserve">Unlink: </w:t>
      </w:r>
      <w:r>
        <w:rPr>
          <w:rFonts w:ascii="Aptos" w:hAnsi="Aptos"/>
        </w:rPr>
        <w:t>Removes only the control relationship; it does not delete the reusable evidence record.</w:t>
      </w:r>
    </w:p>
    <w:p>
      <w:pPr>
        <w:pStyle w:val="ListBullet"/>
        <w:spacing w:after="40"/>
      </w:pPr>
      <w:r>
        <w:rPr>
          <w:rFonts w:ascii="Aptos" w:hAnsi="Aptos"/>
          <w:b/>
        </w:rPr>
        <w:t xml:space="preserve">Edit existing evidence: </w:t>
      </w:r>
      <w:r>
        <w:rPr>
          <w:rFonts w:ascii="Aptos" w:hAnsi="Aptos"/>
        </w:rPr>
        <w:t>Changes the reusable record everywhere it is linked. PurpleWASP warns you about this shared-record behaviour.</w:t>
      </w:r>
    </w:p>
    <w:p>
      <w:pPr>
        <w:pStyle w:val="Heading2"/>
      </w:pPr>
      <w:r>
        <w:rPr>
          <w:rFonts w:ascii="Aptos" w:hAnsi="Aptos"/>
          <w:b/>
          <w:color w:val="24152E"/>
          <w:sz w:val="28"/>
        </w:rPr>
        <w:t>15.2 Add new evidence</w:t>
      </w:r>
    </w:p>
    <w:p>
      <w:pPr>
        <w:spacing w:after="80"/>
        <w:ind w:left="259" w:hanging="259"/>
      </w:pPr>
      <w:r>
        <w:rPr>
          <w:rFonts w:ascii="Aptos" w:hAnsi="Aptos"/>
          <w:b/>
          <w:color w:val="4B0983"/>
        </w:rPr>
        <w:t xml:space="preserve">1. </w:t>
      </w:r>
      <w:r>
        <w:rPr>
          <w:rFonts w:ascii="Aptos" w:hAnsi="Aptos"/>
          <w:b/>
        </w:rPr>
        <w:t xml:space="preserve">Choose Add new evidence. </w:t>
      </w:r>
      <w:r>
        <w:rPr>
          <w:rFonts w:ascii="Aptos" w:hAnsi="Aptos"/>
        </w:rPr>
        <w:t>The form opens in the SOC 2 modal workspace.</w:t>
      </w:r>
    </w:p>
    <w:p>
      <w:pPr>
        <w:spacing w:after="80"/>
        <w:ind w:left="259" w:hanging="259"/>
      </w:pPr>
      <w:r>
        <w:rPr>
          <w:rFonts w:ascii="Aptos" w:hAnsi="Aptos"/>
          <w:b/>
          <w:color w:val="4B0983"/>
        </w:rPr>
        <w:t xml:space="preserve">2. </w:t>
      </w:r>
      <w:r>
        <w:rPr>
          <w:rFonts w:ascii="Aptos" w:hAnsi="Aptos"/>
          <w:b/>
        </w:rPr>
        <w:t xml:space="preserve">Enter Evidence title. </w:t>
      </w:r>
      <w:r>
        <w:rPr>
          <w:rFonts w:ascii="Aptos" w:hAnsi="Aptos"/>
        </w:rPr>
        <w:t>Use a human-readable name that an assessor can recognise.</w:t>
      </w:r>
    </w:p>
    <w:p>
      <w:pPr>
        <w:spacing w:after="80"/>
        <w:ind w:left="259" w:hanging="259"/>
      </w:pPr>
      <w:r>
        <w:rPr>
          <w:rFonts w:ascii="Aptos" w:hAnsi="Aptos"/>
          <w:b/>
          <w:color w:val="4B0983"/>
        </w:rPr>
        <w:t xml:space="preserve">3. </w:t>
      </w:r>
      <w:r>
        <w:rPr>
          <w:rFonts w:ascii="Aptos" w:hAnsi="Aptos"/>
          <w:b/>
        </w:rPr>
        <w:t xml:space="preserve">Choose Evidence type and Source type. </w:t>
      </w:r>
      <w:r>
        <w:rPr>
          <w:rFonts w:ascii="Aptos" w:hAnsi="Aptos"/>
        </w:rPr>
        <w:t>Use the values configured by your Control Management evidence schema.</w:t>
      </w:r>
    </w:p>
    <w:p>
      <w:pPr>
        <w:spacing w:after="80"/>
        <w:ind w:left="259" w:hanging="259"/>
      </w:pPr>
      <w:r>
        <w:rPr>
          <w:rFonts w:ascii="Aptos" w:hAnsi="Aptos"/>
          <w:b/>
          <w:color w:val="4B0983"/>
        </w:rPr>
        <w:t xml:space="preserve">4. </w:t>
      </w:r>
      <w:r>
        <w:rPr>
          <w:rFonts w:ascii="Aptos" w:hAnsi="Aptos"/>
          <w:b/>
        </w:rPr>
        <w:t xml:space="preserve">Choose Evidence status. </w:t>
      </w:r>
      <w:r>
        <w:rPr>
          <w:rFonts w:ascii="Aptos" w:hAnsi="Aptos"/>
        </w:rPr>
        <w:t>Do not keep revoked/archived evidence as if it were current support.</w:t>
      </w:r>
    </w:p>
    <w:p>
      <w:pPr>
        <w:spacing w:after="80"/>
        <w:ind w:left="259" w:hanging="259"/>
      </w:pPr>
      <w:r>
        <w:rPr>
          <w:rFonts w:ascii="Aptos" w:hAnsi="Aptos"/>
          <w:b/>
          <w:color w:val="4B0983"/>
        </w:rPr>
        <w:t xml:space="preserve">5. </w:t>
      </w:r>
      <w:r>
        <w:rPr>
          <w:rFonts w:ascii="Aptos" w:hAnsi="Aptos"/>
          <w:b/>
        </w:rPr>
        <w:t xml:space="preserve">Enter Source system. </w:t>
      </w:r>
      <w:r>
        <w:rPr>
          <w:rFonts w:ascii="Aptos" w:hAnsi="Aptos"/>
        </w:rPr>
        <w:t>Examples: identity provider, ticketing platform, cloud provider, HR system, vulnerability scanner.</w:t>
      </w:r>
    </w:p>
    <w:p>
      <w:pPr>
        <w:spacing w:after="80"/>
        <w:ind w:left="259" w:hanging="259"/>
      </w:pPr>
      <w:r>
        <w:rPr>
          <w:rFonts w:ascii="Aptos" w:hAnsi="Aptos"/>
          <w:b/>
          <w:color w:val="4B0983"/>
        </w:rPr>
        <w:t xml:space="preserve">6. </w:t>
      </w:r>
      <w:r>
        <w:rPr>
          <w:rFonts w:ascii="Aptos" w:hAnsi="Aptos"/>
          <w:b/>
        </w:rPr>
        <w:t xml:space="preserve">Enter Evidence/source timestamp when the underlying event or record occurred. </w:t>
      </w:r>
      <w:r>
        <w:rPr>
          <w:rFonts w:ascii="Aptos" w:hAnsi="Aptos"/>
        </w:rPr>
        <w:t>This is different from when the file is uploaded to PurpleWASP.</w:t>
      </w:r>
    </w:p>
    <w:p>
      <w:pPr>
        <w:spacing w:after="80"/>
        <w:ind w:left="259" w:hanging="259"/>
      </w:pPr>
      <w:r>
        <w:rPr>
          <w:rFonts w:ascii="Aptos" w:hAnsi="Aptos"/>
          <w:b/>
          <w:color w:val="4B0983"/>
        </w:rPr>
        <w:t xml:space="preserve">7. </w:t>
      </w:r>
      <w:r>
        <w:rPr>
          <w:rFonts w:ascii="Aptos" w:hAnsi="Aptos"/>
          <w:b/>
        </w:rPr>
        <w:t xml:space="preserve">Enter Valid from / Expires at when the evidence represents a period. </w:t>
      </w:r>
      <w:r>
        <w:rPr>
          <w:rFonts w:ascii="Aptos" w:hAnsi="Aptos"/>
        </w:rPr>
        <w:t>For example, a policy approval may remain valid until the next scheduled review; a certificate may have explicit validity dates.</w:t>
      </w:r>
    </w:p>
    <w:p>
      <w:pPr>
        <w:spacing w:after="80"/>
        <w:ind w:left="259" w:hanging="259"/>
      </w:pPr>
      <w:r>
        <w:rPr>
          <w:rFonts w:ascii="Aptos" w:hAnsi="Aptos"/>
          <w:b/>
          <w:color w:val="4B0983"/>
        </w:rPr>
        <w:t xml:space="preserve">8. </w:t>
      </w:r>
      <w:r>
        <w:rPr>
          <w:rFonts w:ascii="Aptos" w:hAnsi="Aptos"/>
          <w:b/>
        </w:rPr>
        <w:t xml:space="preserve">Enter Storage reference and/or External URL. </w:t>
      </w:r>
      <w:r>
        <w:rPr>
          <w:rFonts w:ascii="Aptos" w:hAnsi="Aptos"/>
        </w:rPr>
        <w:t>Point to the controlled location of the source evidence.</w:t>
      </w:r>
    </w:p>
    <w:p>
      <w:pPr>
        <w:spacing w:after="80"/>
        <w:ind w:left="259" w:hanging="259"/>
      </w:pPr>
      <w:r>
        <w:rPr>
          <w:rFonts w:ascii="Aptos" w:hAnsi="Aptos"/>
          <w:b/>
          <w:color w:val="4B0983"/>
        </w:rPr>
        <w:t xml:space="preserve">9. </w:t>
      </w:r>
      <w:r>
        <w:rPr>
          <w:rFonts w:ascii="Aptos" w:hAnsi="Aptos"/>
          <w:b/>
        </w:rPr>
        <w:t xml:space="preserve">Choose Link purpose. </w:t>
      </w:r>
      <w:r>
        <w:rPr>
          <w:rFonts w:ascii="Aptos" w:hAnsi="Aptos"/>
        </w:rPr>
        <w:t>Current allowed purposes include general, supports design, supports operation, test artefact, exception support and issue support.</w:t>
      </w:r>
    </w:p>
    <w:p>
      <w:pPr>
        <w:spacing w:after="80"/>
        <w:ind w:left="259" w:hanging="259"/>
      </w:pPr>
      <w:r>
        <w:rPr>
          <w:rFonts w:ascii="Aptos" w:hAnsi="Aptos"/>
          <w:b/>
          <w:color w:val="4B0983"/>
        </w:rPr>
        <w:t xml:space="preserve">10. </w:t>
      </w:r>
      <w:r>
        <w:rPr>
          <w:rFonts w:ascii="Aptos" w:hAnsi="Aptos"/>
          <w:b/>
        </w:rPr>
        <w:t xml:space="preserve">Choose a scoped asset if the evidence is asset-specific. </w:t>
      </w:r>
      <w:r>
        <w:rPr>
          <w:rFonts w:ascii="Aptos" w:hAnsi="Aptos"/>
        </w:rPr>
        <w:t>Otherwise leave it control-wide.</w:t>
      </w:r>
    </w:p>
    <w:p>
      <w:pPr>
        <w:spacing w:after="80"/>
        <w:ind w:left="259" w:hanging="259"/>
      </w:pPr>
      <w:r>
        <w:rPr>
          <w:rFonts w:ascii="Aptos" w:hAnsi="Aptos"/>
          <w:b/>
          <w:color w:val="4B0983"/>
        </w:rPr>
        <w:t xml:space="preserve">11. </w:t>
      </w:r>
      <w:r>
        <w:rPr>
          <w:rFonts w:ascii="Aptos" w:hAnsi="Aptos"/>
          <w:b/>
        </w:rPr>
        <w:t xml:space="preserve">Write Link notes. </w:t>
      </w:r>
      <w:r>
        <w:rPr>
          <w:rFonts w:ascii="Aptos" w:hAnsi="Aptos"/>
        </w:rPr>
        <w:t>Explain why this item supports this control/criterion.</w:t>
      </w:r>
    </w:p>
    <w:p>
      <w:pPr>
        <w:spacing w:after="80"/>
        <w:ind w:left="259" w:hanging="259"/>
      </w:pPr>
      <w:r>
        <w:rPr>
          <w:rFonts w:ascii="Aptos" w:hAnsi="Aptos"/>
          <w:b/>
          <w:color w:val="4B0983"/>
        </w:rPr>
        <w:t xml:space="preserve">12. </w:t>
      </w:r>
      <w:r>
        <w:rPr>
          <w:rFonts w:ascii="Aptos" w:hAnsi="Aptos"/>
          <w:b/>
        </w:rPr>
        <w:t xml:space="preserve">Create &amp; link evidence. </w:t>
      </w:r>
      <w:r>
        <w:rPr>
          <w:rFonts w:ascii="Aptos" w:hAnsi="Aptos"/>
        </w:rPr>
        <w:t>The record is created and immediately linked to the selected control.</w:t>
      </w:r>
    </w:p>
    <w:p>
      <w:pPr>
        <w:pStyle w:val="Heading2"/>
      </w:pPr>
      <w:r>
        <w:rPr>
          <w:rFonts w:ascii="Aptos" w:hAnsi="Aptos"/>
          <w:b/>
          <w:color w:val="24152E"/>
          <w:sz w:val="28"/>
        </w:rPr>
        <w:t>15.3 Link existing evidence</w:t>
      </w:r>
    </w:p>
    <w:p>
      <w:pPr>
        <w:spacing w:after="100"/>
      </w:pPr>
      <w:r>
        <w:rPr>
          <w:rFonts w:ascii="Aptos" w:hAnsi="Aptos"/>
        </w:rPr>
        <w:t>Use Link existing evidence when the same evidence already exists in Control Management. This avoids duplicates and lets one artefact support more than one control where that is genuinely appropriate. Reuse does not remove the need to explain the link purpose.</w:t>
      </w:r>
    </w:p>
    <w:p>
      <w:pPr>
        <w:pStyle w:val="Heading2"/>
      </w:pPr>
      <w:r>
        <w:rPr>
          <w:rFonts w:ascii="Aptos" w:hAnsi="Aptos"/>
          <w:b/>
          <w:color w:val="24152E"/>
          <w:sz w:val="28"/>
        </w:rPr>
        <w:t>15.4 Temporal classifications you will see</w:t>
      </w:r>
    </w:p>
    <w:tbl>
      <w:tblPr>
        <w:tblStyle w:val="TableGrid"/>
        <w:tblW w:type="auto" w:w="0"/>
        <w:jc w:val="center"/>
        <w:tblLook w:firstColumn="1" w:firstRow="1" w:lastColumn="0" w:lastRow="0" w:noHBand="0" w:noVBand="1" w:val="04A0"/>
      </w:tblPr>
      <w:tblGrid>
        <w:gridCol w:w="3331"/>
        <w:gridCol w:w="3331"/>
        <w:gridCol w:w="3331"/>
      </w:tblGrid>
      <w:tr>
        <w:tc>
          <w:tcPr>
            <w:tcW w:type="dxa" w:w="2232"/>
            <w:shd w:fill="4B0983"/>
            <w:vAlign w:val="center"/>
          </w:tcPr>
          <w:p>
            <w:pPr>
              <w:jc w:val="left"/>
            </w:pPr>
            <w:r>
              <w:rPr>
                <w:rFonts w:ascii="Aptos" w:hAnsi="Aptos"/>
                <w:b/>
                <w:color w:val="FFFFFF"/>
                <w:sz w:val="17"/>
              </w:rPr>
              <w:t>Label</w:t>
            </w:r>
          </w:p>
        </w:tc>
        <w:tc>
          <w:tcPr>
            <w:tcW w:type="dxa" w:w="4680"/>
            <w:shd w:fill="4B0983"/>
            <w:vAlign w:val="center"/>
          </w:tcPr>
          <w:p>
            <w:pPr>
              <w:jc w:val="left"/>
            </w:pPr>
            <w:r>
              <w:rPr>
                <w:rFonts w:ascii="Aptos" w:hAnsi="Aptos"/>
                <w:b/>
                <w:color w:val="FFFFFF"/>
                <w:sz w:val="17"/>
              </w:rPr>
              <w:t>Meaning</w:t>
            </w:r>
          </w:p>
        </w:tc>
        <w:tc>
          <w:tcPr>
            <w:tcW w:type="dxa" w:w="4320"/>
            <w:shd w:fill="4B0983"/>
            <w:vAlign w:val="center"/>
          </w:tcPr>
          <w:p>
            <w:pPr>
              <w:jc w:val="left"/>
            </w:pPr>
            <w:r>
              <w:rPr>
                <w:rFonts w:ascii="Aptos" w:hAnsi="Aptos"/>
                <w:b/>
                <w:color w:val="FFFFFF"/>
                <w:sz w:val="17"/>
              </w:rPr>
              <w:t>How to interpret it</w:t>
            </w:r>
          </w:p>
        </w:tc>
      </w:tr>
      <w:tr>
        <w:tc>
          <w:tcPr>
            <w:tcW w:type="dxa" w:w="2232"/>
            <w:vAlign w:val="top"/>
            <w:tcBorders>
              <w:top w:val="single" w:sz="4" w:color="D8D2DE"/>
              <w:left w:val="single" w:sz="4" w:color="D8D2DE"/>
              <w:bottom w:val="single" w:sz="4" w:color="D8D2DE"/>
              <w:right w:val="single" w:sz="4" w:color="D8D2DE"/>
            </w:tcBorders>
          </w:tcPr>
          <w:p>
            <w:r>
              <w:rPr>
                <w:rFonts w:ascii="Aptos" w:hAnsi="Aptos"/>
                <w:sz w:val="17"/>
              </w:rPr>
              <w:t>Period relevant</w:t>
            </w:r>
          </w:p>
        </w:tc>
        <w:tc>
          <w:tcPr>
            <w:tcW w:type="dxa" w:w="4680"/>
            <w:vAlign w:val="top"/>
            <w:tcBorders>
              <w:top w:val="single" w:sz="4" w:color="D8D2DE"/>
              <w:left w:val="single" w:sz="4" w:color="D8D2DE"/>
              <w:bottom w:val="single" w:sz="4" w:color="D8D2DE"/>
              <w:right w:val="single" w:sz="4" w:color="D8D2DE"/>
            </w:tcBorders>
          </w:tcPr>
          <w:p>
            <w:r>
              <w:rPr>
                <w:rFonts w:ascii="Aptos" w:hAnsi="Aptos"/>
                <w:sz w:val="17"/>
              </w:rPr>
              <w:t>Current evidence whose source/validity interval overlaps the engagement window.</w:t>
            </w:r>
          </w:p>
        </w:tc>
        <w:tc>
          <w:tcPr>
            <w:tcW w:type="dxa" w:w="4320"/>
            <w:vAlign w:val="top"/>
            <w:tcBorders>
              <w:top w:val="single" w:sz="4" w:color="D8D2DE"/>
              <w:left w:val="single" w:sz="4" w:color="D8D2DE"/>
              <w:bottom w:val="single" w:sz="4" w:color="D8D2DE"/>
              <w:right w:val="single" w:sz="4" w:color="D8D2DE"/>
            </w:tcBorders>
          </w:tcPr>
          <w:p>
            <w:r>
              <w:rPr>
                <w:rFonts w:ascii="Aptos" w:hAnsi="Aptos"/>
                <w:sz w:val="17"/>
              </w:rPr>
              <w:t>Potentially useful current support for a Type II observation period.</w:t>
            </w:r>
          </w:p>
        </w:tc>
      </w:tr>
      <w:tr>
        <w:tc>
          <w:tcPr>
            <w:tcW w:type="dxa" w:w="2232"/>
            <w:vAlign w:val="top"/>
            <w:tcBorders>
              <w:top w:val="single" w:sz="4" w:color="D8D2DE"/>
              <w:left w:val="single" w:sz="4" w:color="D8D2DE"/>
              <w:bottom w:val="single" w:sz="4" w:color="D8D2DE"/>
              <w:right w:val="single" w:sz="4" w:color="D8D2DE"/>
            </w:tcBorders>
          </w:tcPr>
          <w:p>
            <w:r>
              <w:rPr>
                <w:rFonts w:ascii="Aptos" w:hAnsi="Aptos"/>
                <w:sz w:val="17"/>
              </w:rPr>
              <w:t>Period relevant (historical)</w:t>
            </w:r>
          </w:p>
        </w:tc>
        <w:tc>
          <w:tcPr>
            <w:tcW w:type="dxa" w:w="4680"/>
            <w:vAlign w:val="top"/>
            <w:tcBorders>
              <w:top w:val="single" w:sz="4" w:color="D8D2DE"/>
              <w:left w:val="single" w:sz="4" w:color="D8D2DE"/>
              <w:bottom w:val="single" w:sz="4" w:color="D8D2DE"/>
              <w:right w:val="single" w:sz="4" w:color="D8D2DE"/>
            </w:tcBorders>
          </w:tcPr>
          <w:p>
            <w:r>
              <w:rPr>
                <w:rFonts w:ascii="Aptos" w:hAnsi="Aptos"/>
                <w:sz w:val="17"/>
              </w:rPr>
              <w:t>The item overlaps the period but is no longer current (for example expired/stale).</w:t>
            </w:r>
          </w:p>
        </w:tc>
        <w:tc>
          <w:tcPr>
            <w:tcW w:type="dxa" w:w="4320"/>
            <w:vAlign w:val="top"/>
            <w:tcBorders>
              <w:top w:val="single" w:sz="4" w:color="D8D2DE"/>
              <w:left w:val="single" w:sz="4" w:color="D8D2DE"/>
              <w:bottom w:val="single" w:sz="4" w:color="D8D2DE"/>
              <w:right w:val="single" w:sz="4" w:color="D8D2DE"/>
            </w:tcBorders>
          </w:tcPr>
          <w:p>
            <w:r>
              <w:rPr>
                <w:rFonts w:ascii="Aptos" w:hAnsi="Aptos"/>
                <w:sz w:val="17"/>
              </w:rPr>
              <w:t>Historical period relevance does not make it current readiness evidence.</w:t>
            </w:r>
          </w:p>
        </w:tc>
      </w:tr>
      <w:tr>
        <w:tc>
          <w:tcPr>
            <w:tcW w:type="dxa" w:w="2232"/>
            <w:vAlign w:val="top"/>
            <w:tcBorders>
              <w:top w:val="single" w:sz="4" w:color="D8D2DE"/>
              <w:left w:val="single" w:sz="4" w:color="D8D2DE"/>
              <w:bottom w:val="single" w:sz="4" w:color="D8D2DE"/>
              <w:right w:val="single" w:sz="4" w:color="D8D2DE"/>
            </w:tcBorders>
          </w:tcPr>
          <w:p>
            <w:r>
              <w:rPr>
                <w:rFonts w:ascii="Aptos" w:hAnsi="Aptos"/>
                <w:sz w:val="17"/>
              </w:rPr>
              <w:t>Outside engagement period</w:t>
            </w:r>
          </w:p>
        </w:tc>
        <w:tc>
          <w:tcPr>
            <w:tcW w:type="dxa" w:w="4680"/>
            <w:vAlign w:val="top"/>
            <w:tcBorders>
              <w:top w:val="single" w:sz="4" w:color="D8D2DE"/>
              <w:left w:val="single" w:sz="4" w:color="D8D2DE"/>
              <w:bottom w:val="single" w:sz="4" w:color="D8D2DE"/>
              <w:right w:val="single" w:sz="4" w:color="D8D2DE"/>
            </w:tcBorders>
          </w:tcPr>
          <w:p>
            <w:r>
              <w:rPr>
                <w:rFonts w:ascii="Aptos" w:hAnsi="Aptos"/>
                <w:sz w:val="17"/>
              </w:rPr>
              <w:t>Known dates do not overlap the engagement period.</w:t>
            </w:r>
          </w:p>
        </w:tc>
        <w:tc>
          <w:tcPr>
            <w:tcW w:type="dxa" w:w="4320"/>
            <w:vAlign w:val="top"/>
            <w:tcBorders>
              <w:top w:val="single" w:sz="4" w:color="D8D2DE"/>
              <w:left w:val="single" w:sz="4" w:color="D8D2DE"/>
              <w:bottom w:val="single" w:sz="4" w:color="D8D2DE"/>
              <w:right w:val="single" w:sz="4" w:color="D8D2DE"/>
            </w:tcBorders>
          </w:tcPr>
          <w:p>
            <w:r>
              <w:rPr>
                <w:rFonts w:ascii="Aptos" w:hAnsi="Aptos"/>
                <w:sz w:val="17"/>
              </w:rPr>
              <w:t>May still be useful context, but do not treat it as period proof.</w:t>
            </w:r>
          </w:p>
        </w:tc>
      </w:tr>
      <w:tr>
        <w:tc>
          <w:tcPr>
            <w:tcW w:type="dxa" w:w="2232"/>
            <w:vAlign w:val="top"/>
            <w:tcBorders>
              <w:top w:val="single" w:sz="4" w:color="D8D2DE"/>
              <w:left w:val="single" w:sz="4" w:color="D8D2DE"/>
              <w:bottom w:val="single" w:sz="4" w:color="D8D2DE"/>
              <w:right w:val="single" w:sz="4" w:color="D8D2DE"/>
            </w:tcBorders>
          </w:tcPr>
          <w:p>
            <w:r>
              <w:rPr>
                <w:rFonts w:ascii="Aptos" w:hAnsi="Aptos"/>
                <w:sz w:val="17"/>
              </w:rPr>
              <w:t>Temporal basis unknown</w:t>
            </w:r>
          </w:p>
        </w:tc>
        <w:tc>
          <w:tcPr>
            <w:tcW w:type="dxa" w:w="4680"/>
            <w:vAlign w:val="top"/>
            <w:tcBorders>
              <w:top w:val="single" w:sz="4" w:color="D8D2DE"/>
              <w:left w:val="single" w:sz="4" w:color="D8D2DE"/>
              <w:bottom w:val="single" w:sz="4" w:color="D8D2DE"/>
              <w:right w:val="single" w:sz="4" w:color="D8D2DE"/>
            </w:tcBorders>
          </w:tcPr>
          <w:p>
            <w:r>
              <w:rPr>
                <w:rFonts w:ascii="Aptos" w:hAnsi="Aptos"/>
                <w:sz w:val="17"/>
              </w:rPr>
              <w:t>No sufficient source/validity date is recorded.</w:t>
            </w:r>
          </w:p>
        </w:tc>
        <w:tc>
          <w:tcPr>
            <w:tcW w:type="dxa" w:w="4320"/>
            <w:vAlign w:val="top"/>
            <w:tcBorders>
              <w:top w:val="single" w:sz="4" w:color="D8D2DE"/>
              <w:left w:val="single" w:sz="4" w:color="D8D2DE"/>
              <w:bottom w:val="single" w:sz="4" w:color="D8D2DE"/>
              <w:right w:val="single" w:sz="4" w:color="D8D2DE"/>
            </w:tcBorders>
          </w:tcPr>
          <w:p>
            <w:r>
              <w:rPr>
                <w:rFonts w:ascii="Aptos" w:hAnsi="Aptos"/>
                <w:sz w:val="17"/>
              </w:rPr>
              <w:t>Fix the metadata before relying on it for period conclusions.</w:t>
            </w:r>
          </w:p>
        </w:tc>
      </w:tr>
    </w:tbl>
    <w:p>
      <w:pPr>
        <w:spacing w:after="20"/>
      </w:pPr>
    </w:p>
    <w:tbl>
      <w:tblPr>
        <w:tblW w:type="auto" w:w="0"/>
        <w:jc w:val="center"/>
        <w:tblLayout w:type="autofit"/>
        <w:tblLook w:firstColumn="1" w:firstRow="1" w:lastColumn="0" w:lastRow="0" w:noHBand="0" w:noVBand="1" w:val="04A0"/>
      </w:tblPr>
      <w:tblGrid>
        <w:gridCol w:w="9994"/>
      </w:tblGrid>
      <w:tr>
        <w:tc>
          <w:tcPr>
            <w:tcW w:type="dxa" w:w="9994"/>
            <w:shd w:fill="FFF7E6"/>
            <w:tcBorders>
              <w:top w:val="nil"/>
              <w:left w:val="single" w:sz="18" w:color="A46400"/>
              <w:bottom w:val="nil"/>
              <w:right w:val="nil"/>
            </w:tcBorders>
          </w:tcPr>
          <w:p>
            <w:pPr>
              <w:spacing w:after="60"/>
            </w:pPr>
            <w:r>
              <w:rPr>
                <w:rFonts w:ascii="Aptos" w:hAnsi="Aptos"/>
                <w:b/>
                <w:color w:val="A46400"/>
                <w:sz w:val="21"/>
              </w:rPr>
              <w:t>Type II evidence rule</w:t>
            </w:r>
          </w:p>
          <w:p>
            <w:pPr>
              <w:spacing w:after="0"/>
            </w:pPr>
            <w:r>
              <w:rPr>
                <w:rFonts w:ascii="Aptos" w:hAnsi="Aptos"/>
                <w:sz w:val="19"/>
              </w:rPr>
              <w:t>The upload/record-created timestamp is not automatically evidence that the control operated during the observation period. Use the underlying source timestamp and/or validity interval.</w:t>
            </w:r>
          </w:p>
        </w:tc>
      </w:tr>
    </w:tbl>
    <w:p>
      <w:pPr>
        <w:spacing w:after="20"/>
      </w:pPr>
    </w:p>
    <w:p>
      <w:r>
        <w:br w:type="page"/>
      </w:r>
    </w:p>
    <w:p>
      <w:pPr>
        <w:pStyle w:val="Heading1"/>
      </w:pPr>
      <w:r>
        <w:rPr>
          <w:rFonts w:ascii="Aptos" w:hAnsi="Aptos"/>
          <w:b/>
          <w:color w:val="4B0983"/>
          <w:sz w:val="38"/>
        </w:rPr>
        <w:t>16. Test Planning &amp; Test Runs</w:t>
      </w:r>
    </w:p>
    <w:p>
      <w:pPr>
        <w:spacing w:after="100"/>
      </w:pPr>
      <w:r>
        <w:rPr>
          <w:rFonts w:ascii="Aptos" w:hAnsi="Aptos"/>
        </w:rPr>
        <w:t>Goal: define reusable test procedures for selected controls and record individual executions without overstating what a single test run proves about a Type II observation period.</w:t>
      </w:r>
    </w:p>
    <w:p>
      <w:pPr>
        <w:pStyle w:val="Heading2"/>
      </w:pPr>
      <w:r>
        <w:rPr>
          <w:rFonts w:ascii="Aptos" w:hAnsi="Aptos"/>
          <w:b/>
          <w:color w:val="24152E"/>
          <w:sz w:val="28"/>
        </w:rPr>
        <w:t>16.1 Create or edit a test plan</w:t>
      </w:r>
    </w:p>
    <w:tbl>
      <w:tblPr>
        <w:tblStyle w:val="TableGrid"/>
        <w:tblW w:type="auto" w:w="0"/>
        <w:jc w:val="center"/>
        <w:tblLook w:firstColumn="1" w:firstRow="1" w:lastColumn="0" w:lastRow="0" w:noHBand="0" w:noVBand="1" w:val="04A0"/>
      </w:tblPr>
      <w:tblGrid>
        <w:gridCol w:w="4997"/>
        <w:gridCol w:w="4997"/>
      </w:tblGrid>
      <w:tr>
        <w:tc>
          <w:tcPr>
            <w:tcW w:type="dxa" w:w="2592"/>
            <w:shd w:fill="4B0983"/>
            <w:vAlign w:val="center"/>
          </w:tcPr>
          <w:p>
            <w:pPr>
              <w:jc w:val="left"/>
            </w:pPr>
            <w:r>
              <w:rPr>
                <w:rFonts w:ascii="Aptos" w:hAnsi="Aptos"/>
                <w:b/>
                <w:color w:val="FFFFFF"/>
                <w:sz w:val="17"/>
              </w:rPr>
              <w:t>Field</w:t>
            </w:r>
          </w:p>
        </w:tc>
        <w:tc>
          <w:tcPr>
            <w:tcW w:type="dxa" w:w="8208"/>
            <w:shd w:fill="4B0983"/>
            <w:vAlign w:val="center"/>
          </w:tcPr>
          <w:p>
            <w:pPr>
              <w:jc w:val="left"/>
            </w:pPr>
            <w:r>
              <w:rPr>
                <w:rFonts w:ascii="Aptos" w:hAnsi="Aptos"/>
                <w:b/>
                <w:color w:val="FFFFFF"/>
                <w:sz w:val="17"/>
              </w:rPr>
              <w:t>Guidance</w:t>
            </w:r>
          </w:p>
        </w:tc>
      </w:tr>
      <w:tr>
        <w:tc>
          <w:tcPr>
            <w:tcW w:type="dxa" w:w="2592"/>
            <w:vAlign w:val="top"/>
            <w:tcBorders>
              <w:top w:val="single" w:sz="4" w:color="D8D2DE"/>
              <w:left w:val="single" w:sz="4" w:color="D8D2DE"/>
              <w:bottom w:val="single" w:sz="4" w:color="D8D2DE"/>
              <w:right w:val="single" w:sz="4" w:color="D8D2DE"/>
            </w:tcBorders>
          </w:tcPr>
          <w:p>
            <w:r>
              <w:rPr>
                <w:rFonts w:ascii="Aptos" w:hAnsi="Aptos"/>
                <w:sz w:val="17"/>
              </w:rPr>
              <w:t>Test name *</w:t>
            </w:r>
          </w:p>
        </w:tc>
        <w:tc>
          <w:tcPr>
            <w:tcW w:type="dxa" w:w="8208"/>
            <w:vAlign w:val="top"/>
            <w:tcBorders>
              <w:top w:val="single" w:sz="4" w:color="D8D2DE"/>
              <w:left w:val="single" w:sz="4" w:color="D8D2DE"/>
              <w:bottom w:val="single" w:sz="4" w:color="D8D2DE"/>
              <w:right w:val="single" w:sz="4" w:color="D8D2DE"/>
            </w:tcBorders>
          </w:tcPr>
          <w:p>
            <w:r>
              <w:rPr>
                <w:rFonts w:ascii="Aptos" w:hAnsi="Aptos"/>
                <w:sz w:val="17"/>
              </w:rPr>
              <w:t>Describe the control behaviour being tested.</w:t>
            </w:r>
          </w:p>
        </w:tc>
      </w:tr>
      <w:tr>
        <w:tc>
          <w:tcPr>
            <w:tcW w:type="dxa" w:w="2592"/>
            <w:vAlign w:val="top"/>
            <w:tcBorders>
              <w:top w:val="single" w:sz="4" w:color="D8D2DE"/>
              <w:left w:val="single" w:sz="4" w:color="D8D2DE"/>
              <w:bottom w:val="single" w:sz="4" w:color="D8D2DE"/>
              <w:right w:val="single" w:sz="4" w:color="D8D2DE"/>
            </w:tcBorders>
          </w:tcPr>
          <w:p>
            <w:r>
              <w:rPr>
                <w:rFonts w:ascii="Aptos" w:hAnsi="Aptos"/>
                <w:sz w:val="17"/>
              </w:rPr>
              <w:t>Method</w:t>
            </w:r>
          </w:p>
        </w:tc>
        <w:tc>
          <w:tcPr>
            <w:tcW w:type="dxa" w:w="8208"/>
            <w:vAlign w:val="top"/>
            <w:tcBorders>
              <w:top w:val="single" w:sz="4" w:color="D8D2DE"/>
              <w:left w:val="single" w:sz="4" w:color="D8D2DE"/>
              <w:bottom w:val="single" w:sz="4" w:color="D8D2DE"/>
              <w:right w:val="single" w:sz="4" w:color="D8D2DE"/>
            </w:tcBorders>
          </w:tcPr>
          <w:p>
            <w:r>
              <w:rPr>
                <w:rFonts w:ascii="Aptos" w:hAnsi="Aptos"/>
                <w:sz w:val="17"/>
              </w:rPr>
              <w:t>Current fallback methods include Manual, Automated and Hybrid; use the configured schema value.</w:t>
            </w:r>
          </w:p>
        </w:tc>
      </w:tr>
      <w:tr>
        <w:tc>
          <w:tcPr>
            <w:tcW w:type="dxa" w:w="2592"/>
            <w:vAlign w:val="top"/>
            <w:tcBorders>
              <w:top w:val="single" w:sz="4" w:color="D8D2DE"/>
              <w:left w:val="single" w:sz="4" w:color="D8D2DE"/>
              <w:bottom w:val="single" w:sz="4" w:color="D8D2DE"/>
              <w:right w:val="single" w:sz="4" w:color="D8D2DE"/>
            </w:tcBorders>
          </w:tcPr>
          <w:p>
            <w:r>
              <w:rPr>
                <w:rFonts w:ascii="Aptos" w:hAnsi="Aptos"/>
                <w:sz w:val="17"/>
              </w:rPr>
              <w:t>Cadence</w:t>
            </w:r>
          </w:p>
        </w:tc>
        <w:tc>
          <w:tcPr>
            <w:tcW w:type="dxa" w:w="8208"/>
            <w:vAlign w:val="top"/>
            <w:tcBorders>
              <w:top w:val="single" w:sz="4" w:color="D8D2DE"/>
              <w:left w:val="single" w:sz="4" w:color="D8D2DE"/>
              <w:bottom w:val="single" w:sz="4" w:color="D8D2DE"/>
              <w:right w:val="single" w:sz="4" w:color="D8D2DE"/>
            </w:tcBorders>
          </w:tcPr>
          <w:p>
            <w:r>
              <w:rPr>
                <w:rFonts w:ascii="Aptos" w:hAnsi="Aptos"/>
                <w:sz w:val="17"/>
              </w:rPr>
              <w:t>Use the configured cadence or a clear value such as monthly, quarterly, annual or continuous.</w:t>
            </w:r>
          </w:p>
        </w:tc>
      </w:tr>
      <w:tr>
        <w:tc>
          <w:tcPr>
            <w:tcW w:type="dxa" w:w="2592"/>
            <w:vAlign w:val="top"/>
            <w:tcBorders>
              <w:top w:val="single" w:sz="4" w:color="D8D2DE"/>
              <w:left w:val="single" w:sz="4" w:color="D8D2DE"/>
              <w:bottom w:val="single" w:sz="4" w:color="D8D2DE"/>
              <w:right w:val="single" w:sz="4" w:color="D8D2DE"/>
            </w:tcBorders>
          </w:tcPr>
          <w:p>
            <w:r>
              <w:rPr>
                <w:rFonts w:ascii="Aptos" w:hAnsi="Aptos"/>
                <w:sz w:val="17"/>
              </w:rPr>
              <w:t>Severity</w:t>
            </w:r>
          </w:p>
        </w:tc>
        <w:tc>
          <w:tcPr>
            <w:tcW w:type="dxa" w:w="8208"/>
            <w:vAlign w:val="top"/>
            <w:tcBorders>
              <w:top w:val="single" w:sz="4" w:color="D8D2DE"/>
              <w:left w:val="single" w:sz="4" w:color="D8D2DE"/>
              <w:bottom w:val="single" w:sz="4" w:color="D8D2DE"/>
              <w:right w:val="single" w:sz="4" w:color="D8D2DE"/>
            </w:tcBorders>
          </w:tcPr>
          <w:p>
            <w:r>
              <w:rPr>
                <w:rFonts w:ascii="Aptos" w:hAnsi="Aptos"/>
                <w:sz w:val="17"/>
              </w:rPr>
              <w:t>Low, Medium, High or Critical impact if the test fails, subject to the configured schema.</w:t>
            </w:r>
          </w:p>
        </w:tc>
      </w:tr>
      <w:tr>
        <w:tc>
          <w:tcPr>
            <w:tcW w:type="dxa" w:w="2592"/>
            <w:vAlign w:val="top"/>
            <w:tcBorders>
              <w:top w:val="single" w:sz="4" w:color="D8D2DE"/>
              <w:left w:val="single" w:sz="4" w:color="D8D2DE"/>
              <w:bottom w:val="single" w:sz="4" w:color="D8D2DE"/>
              <w:right w:val="single" w:sz="4" w:color="D8D2DE"/>
            </w:tcBorders>
          </w:tcPr>
          <w:p>
            <w:r>
              <w:rPr>
                <w:rFonts w:ascii="Aptos" w:hAnsi="Aptos"/>
                <w:sz w:val="17"/>
              </w:rPr>
              <w:t>Scoped asset</w:t>
            </w:r>
          </w:p>
        </w:tc>
        <w:tc>
          <w:tcPr>
            <w:tcW w:type="dxa" w:w="8208"/>
            <w:vAlign w:val="top"/>
            <w:tcBorders>
              <w:top w:val="single" w:sz="4" w:color="D8D2DE"/>
              <w:left w:val="single" w:sz="4" w:color="D8D2DE"/>
              <w:bottom w:val="single" w:sz="4" w:color="D8D2DE"/>
              <w:right w:val="single" w:sz="4" w:color="D8D2DE"/>
            </w:tcBorders>
          </w:tcPr>
          <w:p>
            <w:r>
              <w:rPr>
                <w:rFonts w:ascii="Aptos" w:hAnsi="Aptos"/>
                <w:sz w:val="17"/>
              </w:rPr>
              <w:t>Leave control-wide unless the test relates to a specific active asset implementation.</w:t>
            </w:r>
          </w:p>
        </w:tc>
      </w:tr>
      <w:tr>
        <w:tc>
          <w:tcPr>
            <w:tcW w:type="dxa" w:w="2592"/>
            <w:vAlign w:val="top"/>
            <w:tcBorders>
              <w:top w:val="single" w:sz="4" w:color="D8D2DE"/>
              <w:left w:val="single" w:sz="4" w:color="D8D2DE"/>
              <w:bottom w:val="single" w:sz="4" w:color="D8D2DE"/>
              <w:right w:val="single" w:sz="4" w:color="D8D2DE"/>
            </w:tcBorders>
          </w:tcPr>
          <w:p>
            <w:r>
              <w:rPr>
                <w:rFonts w:ascii="Aptos" w:hAnsi="Aptos"/>
                <w:sz w:val="17"/>
              </w:rPr>
              <w:t>Test owner</w:t>
            </w:r>
          </w:p>
        </w:tc>
        <w:tc>
          <w:tcPr>
            <w:tcW w:type="dxa" w:w="8208"/>
            <w:vAlign w:val="top"/>
            <w:tcBorders>
              <w:top w:val="single" w:sz="4" w:color="D8D2DE"/>
              <w:left w:val="single" w:sz="4" w:color="D8D2DE"/>
              <w:bottom w:val="single" w:sz="4" w:color="D8D2DE"/>
              <w:right w:val="single" w:sz="4" w:color="D8D2DE"/>
            </w:tcBorders>
          </w:tcPr>
          <w:p>
            <w:r>
              <w:rPr>
                <w:rFonts w:ascii="Aptos" w:hAnsi="Aptos"/>
                <w:sz w:val="17"/>
              </w:rPr>
              <w:t>Assign the person responsible for executing/reviewing the test.</w:t>
            </w:r>
          </w:p>
        </w:tc>
      </w:tr>
      <w:tr>
        <w:tc>
          <w:tcPr>
            <w:tcW w:type="dxa" w:w="2592"/>
            <w:vAlign w:val="top"/>
            <w:tcBorders>
              <w:top w:val="single" w:sz="4" w:color="D8D2DE"/>
              <w:left w:val="single" w:sz="4" w:color="D8D2DE"/>
              <w:bottom w:val="single" w:sz="4" w:color="D8D2DE"/>
              <w:right w:val="single" w:sz="4" w:color="D8D2DE"/>
            </w:tcBorders>
          </w:tcPr>
          <w:p>
            <w:r>
              <w:rPr>
                <w:rFonts w:ascii="Aptos" w:hAnsi="Aptos"/>
                <w:sz w:val="17"/>
              </w:rPr>
              <w:t>Source system / External test key</w:t>
            </w:r>
          </w:p>
        </w:tc>
        <w:tc>
          <w:tcPr>
            <w:tcW w:type="dxa" w:w="8208"/>
            <w:vAlign w:val="top"/>
            <w:tcBorders>
              <w:top w:val="single" w:sz="4" w:color="D8D2DE"/>
              <w:left w:val="single" w:sz="4" w:color="D8D2DE"/>
              <w:bottom w:val="single" w:sz="4" w:color="D8D2DE"/>
              <w:right w:val="single" w:sz="4" w:color="D8D2DE"/>
            </w:tcBorders>
          </w:tcPr>
          <w:p>
            <w:r>
              <w:rPr>
                <w:rFonts w:ascii="Aptos" w:hAnsi="Aptos"/>
                <w:sz w:val="17"/>
              </w:rPr>
              <w:t>Use these to tie the test to an integration, scanner, ticket, script or external system.</w:t>
            </w:r>
          </w:p>
        </w:tc>
      </w:tr>
      <w:tr>
        <w:tc>
          <w:tcPr>
            <w:tcW w:type="dxa" w:w="2592"/>
            <w:vAlign w:val="top"/>
            <w:tcBorders>
              <w:top w:val="single" w:sz="4" w:color="D8D2DE"/>
              <w:left w:val="single" w:sz="4" w:color="D8D2DE"/>
              <w:bottom w:val="single" w:sz="4" w:color="D8D2DE"/>
              <w:right w:val="single" w:sz="4" w:color="D8D2DE"/>
            </w:tcBorders>
          </w:tcPr>
          <w:p>
            <w:r>
              <w:rPr>
                <w:rFonts w:ascii="Aptos" w:hAnsi="Aptos"/>
                <w:sz w:val="17"/>
              </w:rPr>
              <w:t>Next due</w:t>
            </w:r>
          </w:p>
        </w:tc>
        <w:tc>
          <w:tcPr>
            <w:tcW w:type="dxa" w:w="8208"/>
            <w:vAlign w:val="top"/>
            <w:tcBorders>
              <w:top w:val="single" w:sz="4" w:color="D8D2DE"/>
              <w:left w:val="single" w:sz="4" w:color="D8D2DE"/>
              <w:bottom w:val="single" w:sz="4" w:color="D8D2DE"/>
              <w:right w:val="single" w:sz="4" w:color="D8D2DE"/>
            </w:tcBorders>
          </w:tcPr>
          <w:p>
            <w:r>
              <w:rPr>
                <w:rFonts w:ascii="Aptos" w:hAnsi="Aptos"/>
                <w:sz w:val="17"/>
              </w:rPr>
              <w:t>Maintain cadence and overdue visibility.</w:t>
            </w:r>
          </w:p>
        </w:tc>
      </w:tr>
      <w:tr>
        <w:tc>
          <w:tcPr>
            <w:tcW w:type="dxa" w:w="2592"/>
            <w:vAlign w:val="top"/>
            <w:tcBorders>
              <w:top w:val="single" w:sz="4" w:color="D8D2DE"/>
              <w:left w:val="single" w:sz="4" w:color="D8D2DE"/>
              <w:bottom w:val="single" w:sz="4" w:color="D8D2DE"/>
              <w:right w:val="single" w:sz="4" w:color="D8D2DE"/>
            </w:tcBorders>
          </w:tcPr>
          <w:p>
            <w:r>
              <w:rPr>
                <w:rFonts w:ascii="Aptos" w:hAnsi="Aptos"/>
                <w:sz w:val="17"/>
              </w:rPr>
              <w:t>Test procedure</w:t>
            </w:r>
          </w:p>
        </w:tc>
        <w:tc>
          <w:tcPr>
            <w:tcW w:type="dxa" w:w="8208"/>
            <w:vAlign w:val="top"/>
            <w:tcBorders>
              <w:top w:val="single" w:sz="4" w:color="D8D2DE"/>
              <w:left w:val="single" w:sz="4" w:color="D8D2DE"/>
              <w:bottom w:val="single" w:sz="4" w:color="D8D2DE"/>
              <w:right w:val="single" w:sz="4" w:color="D8D2DE"/>
            </w:tcBorders>
          </w:tcPr>
          <w:p>
            <w:r>
              <w:rPr>
                <w:rFonts w:ascii="Aptos" w:hAnsi="Aptos"/>
                <w:sz w:val="17"/>
              </w:rPr>
              <w:t>Write the actual steps/sample approach.</w:t>
            </w:r>
          </w:p>
        </w:tc>
      </w:tr>
      <w:tr>
        <w:tc>
          <w:tcPr>
            <w:tcW w:type="dxa" w:w="2592"/>
            <w:vAlign w:val="top"/>
            <w:tcBorders>
              <w:top w:val="single" w:sz="4" w:color="D8D2DE"/>
              <w:left w:val="single" w:sz="4" w:color="D8D2DE"/>
              <w:bottom w:val="single" w:sz="4" w:color="D8D2DE"/>
              <w:right w:val="single" w:sz="4" w:color="D8D2DE"/>
            </w:tcBorders>
          </w:tcPr>
          <w:p>
            <w:r>
              <w:rPr>
                <w:rFonts w:ascii="Aptos" w:hAnsi="Aptos"/>
                <w:sz w:val="17"/>
              </w:rPr>
              <w:t>Expected result</w:t>
            </w:r>
          </w:p>
        </w:tc>
        <w:tc>
          <w:tcPr>
            <w:tcW w:type="dxa" w:w="8208"/>
            <w:vAlign w:val="top"/>
            <w:tcBorders>
              <w:top w:val="single" w:sz="4" w:color="D8D2DE"/>
              <w:left w:val="single" w:sz="4" w:color="D8D2DE"/>
              <w:bottom w:val="single" w:sz="4" w:color="D8D2DE"/>
              <w:right w:val="single" w:sz="4" w:color="D8D2DE"/>
            </w:tcBorders>
          </w:tcPr>
          <w:p>
            <w:r>
              <w:rPr>
                <w:rFonts w:ascii="Aptos" w:hAnsi="Aptos"/>
                <w:sz w:val="17"/>
              </w:rPr>
              <w:t>Define what pass/effective operation looks like before execution.</w:t>
            </w:r>
          </w:p>
        </w:tc>
      </w:tr>
    </w:tbl>
    <w:p>
      <w:pPr>
        <w:spacing w:after="20"/>
      </w:pPr>
    </w:p>
    <w:p>
      <w:pPr>
        <w:spacing w:after="100"/>
      </w:pPr>
      <w:r>
        <w:rPr>
          <w:rFonts w:ascii="Aptos" w:hAnsi="Aptos"/>
        </w:rPr>
        <w:t>PurpleWASP may show suggested tests to consider. They are guidance-only starting points, not mandatory auditor procedures. Management/assessors remain responsible for final test design, sample, cadence and conclusion.</w:t>
      </w:r>
    </w:p>
    <w:p>
      <w:pPr>
        <w:pStyle w:val="Heading2"/>
      </w:pPr>
      <w:r>
        <w:rPr>
          <w:rFonts w:ascii="Aptos" w:hAnsi="Aptos"/>
          <w:b/>
          <w:color w:val="24152E"/>
          <w:sz w:val="28"/>
        </w:rPr>
        <w:t>16.2 Record a completed test run</w:t>
      </w:r>
    </w:p>
    <w:p>
      <w:pPr>
        <w:spacing w:after="80"/>
        <w:ind w:left="259" w:hanging="259"/>
      </w:pPr>
      <w:r>
        <w:rPr>
          <w:rFonts w:ascii="Aptos" w:hAnsi="Aptos"/>
          <w:b/>
          <w:color w:val="4B0983"/>
        </w:rPr>
        <w:t xml:space="preserve">1. </w:t>
      </w:r>
      <w:r>
        <w:rPr>
          <w:rFonts w:ascii="Aptos" w:hAnsi="Aptos"/>
          <w:b/>
        </w:rPr>
        <w:t xml:space="preserve">Open Record completed test run. </w:t>
      </w:r>
      <w:r>
        <w:rPr>
          <w:rFonts w:ascii="Aptos" w:hAnsi="Aptos"/>
        </w:rPr>
        <w:t>Do this against the correct test definition.</w:t>
      </w:r>
    </w:p>
    <w:p>
      <w:pPr>
        <w:spacing w:after="80"/>
        <w:ind w:left="259" w:hanging="259"/>
      </w:pPr>
      <w:r>
        <w:rPr>
          <w:rFonts w:ascii="Aptos" w:hAnsi="Aptos"/>
          <w:b/>
          <w:color w:val="4B0983"/>
        </w:rPr>
        <w:t xml:space="preserve">2. </w:t>
      </w:r>
      <w:r>
        <w:rPr>
          <w:rFonts w:ascii="Aptos" w:hAnsi="Aptos"/>
          <w:b/>
        </w:rPr>
        <w:t xml:space="preserve">Choose Result. </w:t>
      </w:r>
      <w:r>
        <w:rPr>
          <w:rFonts w:ascii="Aptos" w:hAnsi="Aptos"/>
        </w:rPr>
        <w:t>Current fallback results include Passed, Failed, Error, Not Applicable and Inconclusive.</w:t>
      </w:r>
    </w:p>
    <w:p>
      <w:pPr>
        <w:spacing w:after="80"/>
        <w:ind w:left="259" w:hanging="259"/>
      </w:pPr>
      <w:r>
        <w:rPr>
          <w:rFonts w:ascii="Aptos" w:hAnsi="Aptos"/>
          <w:b/>
          <w:color w:val="4B0983"/>
        </w:rPr>
        <w:t xml:space="preserve">3. </w:t>
      </w:r>
      <w:r>
        <w:rPr>
          <w:rFonts w:ascii="Aptos" w:hAnsi="Aptos"/>
          <w:b/>
        </w:rPr>
        <w:t xml:space="preserve">Choose Execution source. </w:t>
      </w:r>
      <w:r>
        <w:rPr>
          <w:rFonts w:ascii="Aptos" w:hAnsi="Aptos"/>
        </w:rPr>
        <w:t>Current fallback values include Manual, Integration, Scheduler and Import.</w:t>
      </w:r>
    </w:p>
    <w:p>
      <w:pPr>
        <w:spacing w:after="80"/>
        <w:ind w:left="259" w:hanging="259"/>
      </w:pPr>
      <w:r>
        <w:rPr>
          <w:rFonts w:ascii="Aptos" w:hAnsi="Aptos"/>
          <w:b/>
          <w:color w:val="4B0983"/>
        </w:rPr>
        <w:t xml:space="preserve">4. </w:t>
      </w:r>
      <w:r>
        <w:rPr>
          <w:rFonts w:ascii="Aptos" w:hAnsi="Aptos"/>
          <w:b/>
        </w:rPr>
        <w:t xml:space="preserve">Enter Started at if useful. </w:t>
      </w:r>
      <w:r>
        <w:rPr>
          <w:rFonts w:ascii="Aptos" w:hAnsi="Aptos"/>
        </w:rPr>
        <w:t>This helps document run duration/context.</w:t>
      </w:r>
    </w:p>
    <w:p>
      <w:pPr>
        <w:spacing w:after="80"/>
        <w:ind w:left="259" w:hanging="259"/>
      </w:pPr>
      <w:r>
        <w:rPr>
          <w:rFonts w:ascii="Aptos" w:hAnsi="Aptos"/>
          <w:b/>
          <w:color w:val="4B0983"/>
        </w:rPr>
        <w:t xml:space="preserve">5. </w:t>
      </w:r>
      <w:r>
        <w:rPr>
          <w:rFonts w:ascii="Aptos" w:hAnsi="Aptos"/>
          <w:b/>
        </w:rPr>
        <w:t xml:space="preserve">Enter Completed / execution timestamp. </w:t>
      </w:r>
      <w:r>
        <w:rPr>
          <w:rFonts w:ascii="Aptos" w:hAnsi="Aptos"/>
        </w:rPr>
        <w:t>Use when the test actually executed, not when you record it in PurpleWASP.</w:t>
      </w:r>
    </w:p>
    <w:p>
      <w:pPr>
        <w:spacing w:after="80"/>
        <w:ind w:left="259" w:hanging="259"/>
      </w:pPr>
      <w:r>
        <w:rPr>
          <w:rFonts w:ascii="Aptos" w:hAnsi="Aptos"/>
          <w:b/>
          <w:color w:val="4B0983"/>
        </w:rPr>
        <w:t xml:space="preserve">6. </w:t>
      </w:r>
      <w:r>
        <w:rPr>
          <w:rFonts w:ascii="Aptos" w:hAnsi="Aptos"/>
          <w:b/>
        </w:rPr>
        <w:t xml:space="preserve">Enter Source run key. </w:t>
      </w:r>
      <w:r>
        <w:rPr>
          <w:rFonts w:ascii="Aptos" w:hAnsi="Aptos"/>
        </w:rPr>
        <w:t>Tie the run to the underlying job/ticket/integration when available.</w:t>
      </w:r>
    </w:p>
    <w:p>
      <w:pPr>
        <w:spacing w:after="80"/>
        <w:ind w:left="259" w:hanging="259"/>
      </w:pPr>
      <w:r>
        <w:rPr>
          <w:rFonts w:ascii="Aptos" w:hAnsi="Aptos"/>
          <w:b/>
          <w:color w:val="4B0983"/>
        </w:rPr>
        <w:t xml:space="preserve">7. </w:t>
      </w:r>
      <w:r>
        <w:rPr>
          <w:rFonts w:ascii="Aptos" w:hAnsi="Aptos"/>
          <w:b/>
        </w:rPr>
        <w:t xml:space="preserve">Write Result summary. </w:t>
      </w:r>
      <w:r>
        <w:rPr>
          <w:rFonts w:ascii="Aptos" w:hAnsi="Aptos"/>
        </w:rPr>
        <w:t>Capture exceptions, sample size, failures and follow-up.</w:t>
      </w:r>
    </w:p>
    <w:p>
      <w:pPr>
        <w:pStyle w:val="Heading2"/>
      </w:pPr>
      <w:r>
        <w:rPr>
          <w:rFonts w:ascii="Aptos" w:hAnsi="Aptos"/>
          <w:b/>
          <w:color w:val="24152E"/>
          <w:sz w:val="28"/>
        </w:rPr>
        <w:t>16.3 Type II period interpretation</w:t>
      </w:r>
    </w:p>
    <w:tbl>
      <w:tblPr>
        <w:tblStyle w:val="TableGrid"/>
        <w:tblW w:type="auto" w:w="0"/>
        <w:jc w:val="center"/>
        <w:tblLook w:firstColumn="1" w:firstRow="1" w:lastColumn="0" w:lastRow="0" w:noHBand="0" w:noVBand="1" w:val="04A0"/>
      </w:tblPr>
      <w:tblGrid>
        <w:gridCol w:w="4997"/>
        <w:gridCol w:w="4997"/>
      </w:tblGrid>
      <w:tr>
        <w:tc>
          <w:tcPr>
            <w:tcW w:type="dxa" w:w="3024"/>
            <w:shd w:fill="4B0983"/>
            <w:vAlign w:val="center"/>
          </w:tcPr>
          <w:p>
            <w:pPr>
              <w:jc w:val="left"/>
            </w:pPr>
            <w:r>
              <w:rPr>
                <w:rFonts w:ascii="Aptos" w:hAnsi="Aptos"/>
                <w:b/>
                <w:color w:val="FFFFFF"/>
                <w:sz w:val="17"/>
              </w:rPr>
              <w:t>Badge</w:t>
            </w:r>
          </w:p>
        </w:tc>
        <w:tc>
          <w:tcPr>
            <w:tcW w:type="dxa" w:w="7776"/>
            <w:shd w:fill="4B0983"/>
            <w:vAlign w:val="center"/>
          </w:tcPr>
          <w:p>
            <w:pPr>
              <w:jc w:val="left"/>
            </w:pPr>
            <w:r>
              <w:rPr>
                <w:rFonts w:ascii="Aptos" w:hAnsi="Aptos"/>
                <w:b/>
                <w:color w:val="FFFFFF"/>
                <w:sz w:val="17"/>
              </w:rPr>
              <w:t>Meaning</w:t>
            </w:r>
          </w:p>
        </w:tc>
      </w:tr>
      <w:tr>
        <w:tc>
          <w:tcPr>
            <w:tcW w:type="dxa" w:w="3024"/>
            <w:vAlign w:val="top"/>
            <w:tcBorders>
              <w:top w:val="single" w:sz="4" w:color="D8D2DE"/>
              <w:left w:val="single" w:sz="4" w:color="D8D2DE"/>
              <w:bottom w:val="single" w:sz="4" w:color="D8D2DE"/>
              <w:right w:val="single" w:sz="4" w:color="D8D2DE"/>
            </w:tcBorders>
          </w:tcPr>
          <w:p>
            <w:r>
              <w:rPr>
                <w:rFonts w:ascii="Aptos" w:hAnsi="Aptos"/>
                <w:sz w:val="17"/>
              </w:rPr>
              <w:t>Executed in period</w:t>
            </w:r>
          </w:p>
        </w:tc>
        <w:tc>
          <w:tcPr>
            <w:tcW w:type="dxa" w:w="7776"/>
            <w:vAlign w:val="top"/>
            <w:tcBorders>
              <w:top w:val="single" w:sz="4" w:color="D8D2DE"/>
              <w:left w:val="single" w:sz="4" w:color="D8D2DE"/>
              <w:bottom w:val="single" w:sz="4" w:color="D8D2DE"/>
              <w:right w:val="single" w:sz="4" w:color="D8D2DE"/>
            </w:tcBorders>
          </w:tcPr>
          <w:p>
            <w:r>
              <w:rPr>
                <w:rFonts w:ascii="Aptos" w:hAnsi="Aptos"/>
                <w:sz w:val="17"/>
              </w:rPr>
              <w:t>The recorded execution timestamp is within the Type II observation period.</w:t>
            </w:r>
          </w:p>
        </w:tc>
      </w:tr>
      <w:tr>
        <w:tc>
          <w:tcPr>
            <w:tcW w:type="dxa" w:w="3024"/>
            <w:vAlign w:val="top"/>
            <w:tcBorders>
              <w:top w:val="single" w:sz="4" w:color="D8D2DE"/>
              <w:left w:val="single" w:sz="4" w:color="D8D2DE"/>
              <w:bottom w:val="single" w:sz="4" w:color="D8D2DE"/>
              <w:right w:val="single" w:sz="4" w:color="D8D2DE"/>
            </w:tcBorders>
          </w:tcPr>
          <w:p>
            <w:r>
              <w:rPr>
                <w:rFonts w:ascii="Aptos" w:hAnsi="Aptos"/>
                <w:sz w:val="17"/>
              </w:rPr>
              <w:t>Outside engagement period</w:t>
            </w:r>
          </w:p>
        </w:tc>
        <w:tc>
          <w:tcPr>
            <w:tcW w:type="dxa" w:w="7776"/>
            <w:vAlign w:val="top"/>
            <w:tcBorders>
              <w:top w:val="single" w:sz="4" w:color="D8D2DE"/>
              <w:left w:val="single" w:sz="4" w:color="D8D2DE"/>
              <w:bottom w:val="single" w:sz="4" w:color="D8D2DE"/>
              <w:right w:val="single" w:sz="4" w:color="D8D2DE"/>
            </w:tcBorders>
          </w:tcPr>
          <w:p>
            <w:r>
              <w:rPr>
                <w:rFonts w:ascii="Aptos" w:hAnsi="Aptos"/>
                <w:sz w:val="17"/>
              </w:rPr>
              <w:t>The execution timestamp is known and outside the observation period.</w:t>
            </w:r>
          </w:p>
        </w:tc>
      </w:tr>
      <w:tr>
        <w:tc>
          <w:tcPr>
            <w:tcW w:type="dxa" w:w="3024"/>
            <w:vAlign w:val="top"/>
            <w:tcBorders>
              <w:top w:val="single" w:sz="4" w:color="D8D2DE"/>
              <w:left w:val="single" w:sz="4" w:color="D8D2DE"/>
              <w:bottom w:val="single" w:sz="4" w:color="D8D2DE"/>
              <w:right w:val="single" w:sz="4" w:color="D8D2DE"/>
            </w:tcBorders>
          </w:tcPr>
          <w:p>
            <w:r>
              <w:rPr>
                <w:rFonts w:ascii="Aptos" w:hAnsi="Aptos"/>
                <w:sz w:val="17"/>
              </w:rPr>
              <w:t>Execution period unknown</w:t>
            </w:r>
          </w:p>
        </w:tc>
        <w:tc>
          <w:tcPr>
            <w:tcW w:type="dxa" w:w="7776"/>
            <w:vAlign w:val="top"/>
            <w:tcBorders>
              <w:top w:val="single" w:sz="4" w:color="D8D2DE"/>
              <w:left w:val="single" w:sz="4" w:color="D8D2DE"/>
              <w:bottom w:val="single" w:sz="4" w:color="D8D2DE"/>
              <w:right w:val="single" w:sz="4" w:color="D8D2DE"/>
            </w:tcBorders>
          </w:tcPr>
          <w:p>
            <w:r>
              <w:rPr>
                <w:rFonts w:ascii="Aptos" w:hAnsi="Aptos"/>
                <w:sz w:val="17"/>
              </w:rPr>
              <w:t>The timestamp is insufficient to classify the run.</w:t>
            </w:r>
          </w:p>
        </w:tc>
      </w:tr>
    </w:tbl>
    <w:p>
      <w:pPr>
        <w:spacing w:after="20"/>
      </w:pPr>
    </w:p>
    <w:tbl>
      <w:tblPr>
        <w:tblW w:type="auto" w:w="0"/>
        <w:jc w:val="center"/>
        <w:tblLayout w:type="autofit"/>
        <w:tblLook w:firstColumn="1" w:firstRow="1" w:lastColumn="0" w:lastRow="0" w:noHBand="0" w:noVBand="1" w:val="04A0"/>
      </w:tblPr>
      <w:tblGrid>
        <w:gridCol w:w="9994"/>
      </w:tblGrid>
      <w:tr>
        <w:tc>
          <w:tcPr>
            <w:tcW w:type="dxa" w:w="9994"/>
            <w:shd w:fill="FFF7E6"/>
            <w:tcBorders>
              <w:top w:val="nil"/>
              <w:left w:val="single" w:sz="18" w:color="A46400"/>
              <w:bottom w:val="nil"/>
              <w:right w:val="nil"/>
            </w:tcBorders>
          </w:tcPr>
          <w:p>
            <w:pPr>
              <w:spacing w:after="60"/>
            </w:pPr>
            <w:r>
              <w:rPr>
                <w:rFonts w:ascii="Aptos" w:hAnsi="Aptos"/>
                <w:b/>
                <w:color w:val="A46400"/>
                <w:sz w:val="21"/>
              </w:rPr>
              <w:t>Do not infer whole-period coverage from one timestamp.</w:t>
            </w:r>
          </w:p>
          <w:p>
            <w:pPr>
              <w:spacing w:after="0"/>
            </w:pPr>
            <w:r>
              <w:rPr>
                <w:rFonts w:ascii="Aptos" w:hAnsi="Aptos"/>
                <w:sz w:val="19"/>
              </w:rPr>
              <w:t>The current test-run model identifies when a run executed; it does not store explicit coverage start/end dates for the population. A single retrospective run outside the period is not automatically proof that the control operated throughout the period.</w:t>
            </w:r>
          </w:p>
        </w:tc>
      </w:tr>
    </w:tbl>
    <w:p>
      <w:pPr>
        <w:spacing w:after="20"/>
      </w:pPr>
    </w:p>
    <w:p>
      <w:r>
        <w:br w:type="page"/>
      </w:r>
    </w:p>
    <w:p>
      <w:pPr>
        <w:pStyle w:val="Heading1"/>
      </w:pPr>
      <w:r>
        <w:rPr>
          <w:rFonts w:ascii="Aptos" w:hAnsi="Aptos"/>
          <w:b/>
          <w:color w:val="4B0983"/>
          <w:sz w:val="38"/>
        </w:rPr>
        <w:t>17. Operational Readiness</w:t>
      </w:r>
    </w:p>
    <w:p>
      <w:pPr>
        <w:spacing w:after="100"/>
      </w:pPr>
      <w:r>
        <w:rPr>
          <w:rFonts w:ascii="Aptos" w:hAnsi="Aptos"/>
        </w:rPr>
        <w:t>Goal: review the operational signals for every management-selected coverage control and use the detail to decide what work is still required.</w:t>
      </w:r>
    </w:p>
    <w:p>
      <w:pPr>
        <w:jc w:val="center"/>
      </w:pPr>
      <w:r>
        <w:drawing>
          <wp:inline xmlns:a="http://schemas.openxmlformats.org/drawingml/2006/main" xmlns:pic="http://schemas.openxmlformats.org/drawingml/2006/picture">
            <wp:extent cx="6263640" cy="3805907"/>
            <wp:docPr id="11" name="Picture 11" descr="Figure 11. Illustrative Operational Readiness summary and per-control signal review."/>
            <wp:cNvGraphicFramePr>
              <a:graphicFrameLocks noChangeAspect="1"/>
            </wp:cNvGraphicFramePr>
            <a:graphic>
              <a:graphicData uri="http://schemas.openxmlformats.org/drawingml/2006/picture">
                <pic:pic>
                  <pic:nvPicPr>
                    <pic:cNvPr id="0" name="11_operational.png"/>
                    <pic:cNvPicPr/>
                  </pic:nvPicPr>
                  <pic:blipFill>
                    <a:blip r:embed="rId21"/>
                    <a:stretch>
                      <a:fillRect/>
                    </a:stretch>
                  </pic:blipFill>
                  <pic:spPr>
                    <a:xfrm>
                      <a:off x="0" y="0"/>
                      <a:ext cx="6263640" cy="3805907"/>
                    </a:xfrm>
                    <a:prstGeom prst="rect"/>
                  </pic:spPr>
                </pic:pic>
              </a:graphicData>
            </a:graphic>
          </wp:inline>
        </w:drawing>
      </w:r>
    </w:p>
    <w:p>
      <w:pPr>
        <w:spacing w:after="160"/>
        <w:jc w:val="center"/>
      </w:pPr>
      <w:r>
        <w:rPr>
          <w:rFonts w:ascii="Aptos" w:hAnsi="Aptos"/>
          <w:i/>
          <w:color w:val="6B6470"/>
          <w:sz w:val="17"/>
        </w:rPr>
        <w:t>Figure 11. Illustrative Operational Readiness summary and per-control signal review.</w:t>
      </w:r>
    </w:p>
    <w:p>
      <w:pPr>
        <w:pStyle w:val="Heading2"/>
      </w:pPr>
      <w:r>
        <w:rPr>
          <w:rFonts w:ascii="Aptos" w:hAnsi="Aptos"/>
          <w:b/>
          <w:color w:val="24152E"/>
          <w:sz w:val="28"/>
        </w:rPr>
        <w:t>17.1 Read the summary metrics</w:t>
      </w:r>
    </w:p>
    <w:tbl>
      <w:tblPr>
        <w:tblStyle w:val="TableGrid"/>
        <w:tblW w:type="auto" w:w="0"/>
        <w:jc w:val="center"/>
        <w:tblLook w:firstColumn="1" w:firstRow="1" w:lastColumn="0" w:lastRow="0" w:noHBand="0" w:noVBand="1" w:val="04A0"/>
      </w:tblPr>
      <w:tblGrid>
        <w:gridCol w:w="4997"/>
        <w:gridCol w:w="4997"/>
      </w:tblGrid>
      <w:tr>
        <w:tc>
          <w:tcPr>
            <w:tcW w:type="dxa" w:w="3096"/>
            <w:shd w:fill="4B0983"/>
            <w:vAlign w:val="center"/>
          </w:tcPr>
          <w:p>
            <w:pPr>
              <w:jc w:val="left"/>
            </w:pPr>
            <w:r>
              <w:rPr>
                <w:rFonts w:ascii="Aptos" w:hAnsi="Aptos"/>
                <w:b/>
                <w:color w:val="FFFFFF"/>
                <w:sz w:val="17"/>
              </w:rPr>
              <w:t>Metric</w:t>
            </w:r>
          </w:p>
        </w:tc>
        <w:tc>
          <w:tcPr>
            <w:tcW w:type="dxa" w:w="7704"/>
            <w:shd w:fill="4B0983"/>
            <w:vAlign w:val="center"/>
          </w:tcPr>
          <w:p>
            <w:pPr>
              <w:jc w:val="left"/>
            </w:pPr>
            <w:r>
              <w:rPr>
                <w:rFonts w:ascii="Aptos" w:hAnsi="Aptos"/>
                <w:b/>
                <w:color w:val="FFFFFF"/>
                <w:sz w:val="17"/>
              </w:rPr>
              <w:t>What it tells you</w:t>
            </w:r>
          </w:p>
        </w:tc>
      </w:tr>
      <w:tr>
        <w:tc>
          <w:tcPr>
            <w:tcW w:type="dxa" w:w="3096"/>
            <w:vAlign w:val="top"/>
            <w:tcBorders>
              <w:top w:val="single" w:sz="4" w:color="D8D2DE"/>
              <w:left w:val="single" w:sz="4" w:color="D8D2DE"/>
              <w:bottom w:val="single" w:sz="4" w:color="D8D2DE"/>
              <w:right w:val="single" w:sz="4" w:color="D8D2DE"/>
            </w:tcBorders>
          </w:tcPr>
          <w:p>
            <w:r>
              <w:rPr>
                <w:rFonts w:ascii="Aptos" w:hAnsi="Aptos"/>
                <w:sz w:val="17"/>
              </w:rPr>
              <w:t>Selected coverage controls</w:t>
            </w:r>
          </w:p>
        </w:tc>
        <w:tc>
          <w:tcPr>
            <w:tcW w:type="dxa" w:w="7704"/>
            <w:vAlign w:val="top"/>
            <w:tcBorders>
              <w:top w:val="single" w:sz="4" w:color="D8D2DE"/>
              <w:left w:val="single" w:sz="4" w:color="D8D2DE"/>
              <w:bottom w:val="single" w:sz="4" w:color="D8D2DE"/>
              <w:right w:val="single" w:sz="4" w:color="D8D2DE"/>
            </w:tcBorders>
          </w:tcPr>
          <w:p>
            <w:r>
              <w:rPr>
                <w:rFonts w:ascii="Aptos" w:hAnsi="Aptos"/>
                <w:sz w:val="17"/>
              </w:rPr>
              <w:t>How many distinct organisation controls management has selected for SOC 2 coverage.</w:t>
            </w:r>
          </w:p>
        </w:tc>
      </w:tr>
      <w:tr>
        <w:tc>
          <w:tcPr>
            <w:tcW w:type="dxa" w:w="3096"/>
            <w:vAlign w:val="top"/>
            <w:tcBorders>
              <w:top w:val="single" w:sz="4" w:color="D8D2DE"/>
              <w:left w:val="single" w:sz="4" w:color="D8D2DE"/>
              <w:bottom w:val="single" w:sz="4" w:color="D8D2DE"/>
              <w:right w:val="single" w:sz="4" w:color="D8D2DE"/>
            </w:tcBorders>
          </w:tcPr>
          <w:p>
            <w:r>
              <w:rPr>
                <w:rFonts w:ascii="Aptos" w:hAnsi="Aptos"/>
                <w:sz w:val="17"/>
              </w:rPr>
              <w:t>Final assessments</w:t>
            </w:r>
          </w:p>
        </w:tc>
        <w:tc>
          <w:tcPr>
            <w:tcW w:type="dxa" w:w="7704"/>
            <w:vAlign w:val="top"/>
            <w:tcBorders>
              <w:top w:val="single" w:sz="4" w:color="D8D2DE"/>
              <w:left w:val="single" w:sz="4" w:color="D8D2DE"/>
              <w:bottom w:val="single" w:sz="4" w:color="D8D2DE"/>
              <w:right w:val="single" w:sz="4" w:color="D8D2DE"/>
            </w:tcBorders>
          </w:tcPr>
          <w:p>
            <w:r>
              <w:rPr>
                <w:rFonts w:ascii="Aptos" w:hAnsi="Aptos"/>
                <w:sz w:val="17"/>
              </w:rPr>
              <w:t>Controls with at least one final assessment.</w:t>
            </w:r>
          </w:p>
        </w:tc>
      </w:tr>
      <w:tr>
        <w:tc>
          <w:tcPr>
            <w:tcW w:type="dxa" w:w="3096"/>
            <w:vAlign w:val="top"/>
            <w:tcBorders>
              <w:top w:val="single" w:sz="4" w:color="D8D2DE"/>
              <w:left w:val="single" w:sz="4" w:color="D8D2DE"/>
              <w:bottom w:val="single" w:sz="4" w:color="D8D2DE"/>
              <w:right w:val="single" w:sz="4" w:color="D8D2DE"/>
            </w:tcBorders>
          </w:tcPr>
          <w:p>
            <w:r>
              <w:rPr>
                <w:rFonts w:ascii="Aptos" w:hAnsi="Aptos"/>
                <w:sz w:val="17"/>
              </w:rPr>
              <w:t>Current evidence</w:t>
            </w:r>
          </w:p>
        </w:tc>
        <w:tc>
          <w:tcPr>
            <w:tcW w:type="dxa" w:w="7704"/>
            <w:vAlign w:val="top"/>
            <w:tcBorders>
              <w:top w:val="single" w:sz="4" w:color="D8D2DE"/>
              <w:left w:val="single" w:sz="4" w:color="D8D2DE"/>
              <w:bottom w:val="single" w:sz="4" w:color="D8D2DE"/>
              <w:right w:val="single" w:sz="4" w:color="D8D2DE"/>
            </w:tcBorders>
          </w:tcPr>
          <w:p>
            <w:r>
              <w:rPr>
                <w:rFonts w:ascii="Aptos" w:hAnsi="Aptos"/>
                <w:sz w:val="17"/>
              </w:rPr>
              <w:t>Controls with current linked evidence.</w:t>
            </w:r>
          </w:p>
        </w:tc>
      </w:tr>
      <w:tr>
        <w:tc>
          <w:tcPr>
            <w:tcW w:type="dxa" w:w="3096"/>
            <w:vAlign w:val="top"/>
            <w:tcBorders>
              <w:top w:val="single" w:sz="4" w:color="D8D2DE"/>
              <w:left w:val="single" w:sz="4" w:color="D8D2DE"/>
              <w:bottom w:val="single" w:sz="4" w:color="D8D2DE"/>
              <w:right w:val="single" w:sz="4" w:color="D8D2DE"/>
            </w:tcBorders>
          </w:tcPr>
          <w:p>
            <w:r>
              <w:rPr>
                <w:rFonts w:ascii="Aptos" w:hAnsi="Aptos"/>
                <w:sz w:val="17"/>
              </w:rPr>
              <w:t>Period-relevant evidence</w:t>
            </w:r>
          </w:p>
        </w:tc>
        <w:tc>
          <w:tcPr>
            <w:tcW w:type="dxa" w:w="7704"/>
            <w:vAlign w:val="top"/>
            <w:tcBorders>
              <w:top w:val="single" w:sz="4" w:color="D8D2DE"/>
              <w:left w:val="single" w:sz="4" w:color="D8D2DE"/>
              <w:bottom w:val="single" w:sz="4" w:color="D8D2DE"/>
              <w:right w:val="single" w:sz="4" w:color="D8D2DE"/>
            </w:tcBorders>
          </w:tcPr>
          <w:p>
            <w:r>
              <w:rPr>
                <w:rFonts w:ascii="Aptos" w:hAnsi="Aptos"/>
                <w:sz w:val="17"/>
              </w:rPr>
              <w:t>Controls with evidence whose source/validity overlaps the engagement window.</w:t>
            </w:r>
          </w:p>
        </w:tc>
      </w:tr>
      <w:tr>
        <w:tc>
          <w:tcPr>
            <w:tcW w:type="dxa" w:w="3096"/>
            <w:vAlign w:val="top"/>
            <w:tcBorders>
              <w:top w:val="single" w:sz="4" w:color="D8D2DE"/>
              <w:left w:val="single" w:sz="4" w:color="D8D2DE"/>
              <w:bottom w:val="single" w:sz="4" w:color="D8D2DE"/>
              <w:right w:val="single" w:sz="4" w:color="D8D2DE"/>
            </w:tcBorders>
          </w:tcPr>
          <w:p>
            <w:r>
              <w:rPr>
                <w:rFonts w:ascii="Aptos" w:hAnsi="Aptos"/>
                <w:sz w:val="17"/>
              </w:rPr>
              <w:t>Active tests</w:t>
            </w:r>
          </w:p>
        </w:tc>
        <w:tc>
          <w:tcPr>
            <w:tcW w:type="dxa" w:w="7704"/>
            <w:vAlign w:val="top"/>
            <w:tcBorders>
              <w:top w:val="single" w:sz="4" w:color="D8D2DE"/>
              <w:left w:val="single" w:sz="4" w:color="D8D2DE"/>
              <w:bottom w:val="single" w:sz="4" w:color="D8D2DE"/>
              <w:right w:val="single" w:sz="4" w:color="D8D2DE"/>
            </w:tcBorders>
          </w:tcPr>
          <w:p>
            <w:r>
              <w:rPr>
                <w:rFonts w:ascii="Aptos" w:hAnsi="Aptos"/>
                <w:sz w:val="17"/>
              </w:rPr>
              <w:t>Controls with active test definitions.</w:t>
            </w:r>
          </w:p>
        </w:tc>
      </w:tr>
      <w:tr>
        <w:tc>
          <w:tcPr>
            <w:tcW w:type="dxa" w:w="3096"/>
            <w:vAlign w:val="top"/>
            <w:tcBorders>
              <w:top w:val="single" w:sz="4" w:color="D8D2DE"/>
              <w:left w:val="single" w:sz="4" w:color="D8D2DE"/>
              <w:bottom w:val="single" w:sz="4" w:color="D8D2DE"/>
              <w:right w:val="single" w:sz="4" w:color="D8D2DE"/>
            </w:tcBorders>
          </w:tcPr>
          <w:p>
            <w:r>
              <w:rPr>
                <w:rFonts w:ascii="Aptos" w:hAnsi="Aptos"/>
                <w:sz w:val="17"/>
              </w:rPr>
              <w:t>Controls tested in period</w:t>
            </w:r>
          </w:p>
        </w:tc>
        <w:tc>
          <w:tcPr>
            <w:tcW w:type="dxa" w:w="7704"/>
            <w:vAlign w:val="top"/>
            <w:tcBorders>
              <w:top w:val="single" w:sz="4" w:color="D8D2DE"/>
              <w:left w:val="single" w:sz="4" w:color="D8D2DE"/>
              <w:bottom w:val="single" w:sz="4" w:color="D8D2DE"/>
              <w:right w:val="single" w:sz="4" w:color="D8D2DE"/>
            </w:tcBorders>
          </w:tcPr>
          <w:p>
            <w:r>
              <w:rPr>
                <w:rFonts w:ascii="Aptos" w:hAnsi="Aptos"/>
                <w:sz w:val="17"/>
              </w:rPr>
              <w:t>Controls with completed runs executed within the observation period.</w:t>
            </w:r>
          </w:p>
        </w:tc>
      </w:tr>
      <w:tr>
        <w:tc>
          <w:tcPr>
            <w:tcW w:type="dxa" w:w="3096"/>
            <w:vAlign w:val="top"/>
            <w:tcBorders>
              <w:top w:val="single" w:sz="4" w:color="D8D2DE"/>
              <w:left w:val="single" w:sz="4" w:color="D8D2DE"/>
              <w:bottom w:val="single" w:sz="4" w:color="D8D2DE"/>
              <w:right w:val="single" w:sz="4" w:color="D8D2DE"/>
            </w:tcBorders>
          </w:tcPr>
          <w:p>
            <w:r>
              <w:rPr>
                <w:rFonts w:ascii="Aptos" w:hAnsi="Aptos"/>
                <w:sz w:val="17"/>
              </w:rPr>
              <w:t>Controls with issues</w:t>
            </w:r>
          </w:p>
        </w:tc>
        <w:tc>
          <w:tcPr>
            <w:tcW w:type="dxa" w:w="7704"/>
            <w:vAlign w:val="top"/>
            <w:tcBorders>
              <w:top w:val="single" w:sz="4" w:color="D8D2DE"/>
              <w:left w:val="single" w:sz="4" w:color="D8D2DE"/>
              <w:bottom w:val="single" w:sz="4" w:color="D8D2DE"/>
              <w:right w:val="single" w:sz="4" w:color="D8D2DE"/>
            </w:tcBorders>
          </w:tcPr>
          <w:p>
            <w:r>
              <w:rPr>
                <w:rFonts w:ascii="Aptos" w:hAnsi="Aptos"/>
                <w:sz w:val="17"/>
              </w:rPr>
              <w:t>Controls with active issues; the summary also surfaces high/critical issues.</w:t>
            </w:r>
          </w:p>
        </w:tc>
      </w:tr>
      <w:tr>
        <w:tc>
          <w:tcPr>
            <w:tcW w:type="dxa" w:w="3096"/>
            <w:vAlign w:val="top"/>
            <w:tcBorders>
              <w:top w:val="single" w:sz="4" w:color="D8D2DE"/>
              <w:left w:val="single" w:sz="4" w:color="D8D2DE"/>
              <w:bottom w:val="single" w:sz="4" w:color="D8D2DE"/>
              <w:right w:val="single" w:sz="4" w:color="D8D2DE"/>
            </w:tcBorders>
          </w:tcPr>
          <w:p>
            <w:r>
              <w:rPr>
                <w:rFonts w:ascii="Aptos" w:hAnsi="Aptos"/>
                <w:sz w:val="17"/>
              </w:rPr>
              <w:t>Active exceptions</w:t>
            </w:r>
          </w:p>
        </w:tc>
        <w:tc>
          <w:tcPr>
            <w:tcW w:type="dxa" w:w="7704"/>
            <w:vAlign w:val="top"/>
            <w:tcBorders>
              <w:top w:val="single" w:sz="4" w:color="D8D2DE"/>
              <w:left w:val="single" w:sz="4" w:color="D8D2DE"/>
              <w:bottom w:val="single" w:sz="4" w:color="D8D2DE"/>
              <w:right w:val="single" w:sz="4" w:color="D8D2DE"/>
            </w:tcBorders>
          </w:tcPr>
          <w:p>
            <w:r>
              <w:rPr>
                <w:rFonts w:ascii="Aptos" w:hAnsi="Aptos"/>
                <w:sz w:val="17"/>
              </w:rPr>
              <w:t>Controls with active exceptions; pending requests remain visible.</w:t>
            </w:r>
          </w:p>
        </w:tc>
      </w:tr>
    </w:tbl>
    <w:p>
      <w:pPr>
        <w:spacing w:after="20"/>
      </w:pPr>
    </w:p>
    <w:p>
      <w:pPr>
        <w:pStyle w:val="Heading2"/>
      </w:pPr>
      <w:r>
        <w:rPr>
          <w:rFonts w:ascii="Aptos" w:hAnsi="Aptos"/>
          <w:b/>
          <w:color w:val="24152E"/>
          <w:sz w:val="28"/>
        </w:rPr>
        <w:t>17.2 Review a control</w:t>
      </w:r>
    </w:p>
    <w:p>
      <w:pPr>
        <w:spacing w:after="100"/>
      </w:pPr>
      <w:r>
        <w:rPr>
          <w:rFonts w:ascii="Aptos" w:hAnsi="Aptos"/>
        </w:rPr>
        <w:t>Each selected control is collapsible. Expand it when you need the operational detail. You will see the latest final assessment, current/linked evidence counts, period-relevant evidence, active tests, in-period runs and outcomes, issue counts, exception counts and any current management readiness decision.</w:t>
      </w:r>
    </w:p>
    <w:p>
      <w:pPr>
        <w:spacing w:after="80"/>
        <w:ind w:left="259" w:hanging="259"/>
      </w:pPr>
      <w:r>
        <w:rPr>
          <w:rFonts w:ascii="Aptos" w:hAnsi="Aptos"/>
          <w:b/>
          <w:color w:val="4B0983"/>
        </w:rPr>
        <w:t xml:space="preserve">1. </w:t>
      </w:r>
      <w:r>
        <w:rPr>
          <w:rFonts w:ascii="Aptos" w:hAnsi="Aptos"/>
          <w:b/>
        </w:rPr>
        <w:t xml:space="preserve">Start with controls whose operational badge is warning or bad. </w:t>
      </w:r>
      <w:r>
        <w:rPr>
          <w:rFonts w:ascii="Aptos" w:hAnsi="Aptos"/>
        </w:rPr>
        <w:t>Do not spend equal time on already well-supported controls.</w:t>
      </w:r>
    </w:p>
    <w:p>
      <w:pPr>
        <w:spacing w:after="80"/>
        <w:ind w:left="259" w:hanging="259"/>
      </w:pPr>
      <w:r>
        <w:rPr>
          <w:rFonts w:ascii="Aptos" w:hAnsi="Aptos"/>
          <w:b/>
          <w:color w:val="4B0983"/>
        </w:rPr>
        <w:t xml:space="preserve">2. </w:t>
      </w:r>
      <w:r>
        <w:rPr>
          <w:rFonts w:ascii="Aptos" w:hAnsi="Aptos"/>
          <w:b/>
        </w:rPr>
        <w:t xml:space="preserve">Identify the specific missing signal. </w:t>
      </w:r>
      <w:r>
        <w:rPr>
          <w:rFonts w:ascii="Aptos" w:hAnsi="Aptos"/>
        </w:rPr>
        <w:t>For example: implementation pending, assessment missing, evidence missing, testing missing, period testing missing, issue attention or caution.</w:t>
      </w:r>
    </w:p>
    <w:p>
      <w:pPr>
        <w:spacing w:after="80"/>
        <w:ind w:left="259" w:hanging="259"/>
      </w:pPr>
      <w:r>
        <w:rPr>
          <w:rFonts w:ascii="Aptos" w:hAnsi="Aptos"/>
          <w:b/>
          <w:color w:val="4B0983"/>
        </w:rPr>
        <w:t xml:space="preserve">3. </w:t>
      </w:r>
      <w:r>
        <w:rPr>
          <w:rFonts w:ascii="Aptos" w:hAnsi="Aptos"/>
          <w:b/>
        </w:rPr>
        <w:t xml:space="preserve">Open the linked workbench. </w:t>
      </w:r>
      <w:r>
        <w:rPr>
          <w:rFonts w:ascii="Aptos" w:hAnsi="Aptos"/>
        </w:rPr>
        <w:t>Operational Readiness provides direct paths to assessment, evidence, testing and issues/decisions.</w:t>
      </w:r>
    </w:p>
    <w:p>
      <w:pPr>
        <w:spacing w:after="80"/>
        <w:ind w:left="259" w:hanging="259"/>
      </w:pPr>
      <w:r>
        <w:rPr>
          <w:rFonts w:ascii="Aptos" w:hAnsi="Aptos"/>
          <w:b/>
          <w:color w:val="4B0983"/>
        </w:rPr>
        <w:t xml:space="preserve">4. </w:t>
      </w:r>
      <w:r>
        <w:rPr>
          <w:rFonts w:ascii="Aptos" w:hAnsi="Aptos"/>
          <w:b/>
        </w:rPr>
        <w:t xml:space="preserve">Return after remediation. </w:t>
      </w:r>
      <w:r>
        <w:rPr>
          <w:rFonts w:ascii="Aptos" w:hAnsi="Aptos"/>
        </w:rPr>
        <w:t>The readiness layer should update from the underlying Control Management state.</w:t>
      </w:r>
    </w:p>
    <w:p>
      <w:r>
        <w:br w:type="page"/>
      </w:r>
    </w:p>
    <w:p>
      <w:pPr>
        <w:pStyle w:val="Heading1"/>
      </w:pPr>
      <w:r>
        <w:rPr>
          <w:rFonts w:ascii="Aptos" w:hAnsi="Aptos"/>
          <w:b/>
          <w:color w:val="4B0983"/>
          <w:sz w:val="38"/>
        </w:rPr>
        <w:t>18. Issues, Exceptions &amp; Control Readiness Decisions</w:t>
      </w:r>
    </w:p>
    <w:p>
      <w:pPr>
        <w:spacing w:after="100"/>
      </w:pPr>
      <w:r>
        <w:rPr>
          <w:rFonts w:ascii="Aptos" w:hAnsi="Aptos"/>
        </w:rPr>
        <w:t>Goal: turn readiness blockers into managed remediation work, document approved exceptions where appropriate, and record an explicit control-level management/assessor decision without overwriting the underlying facts.</w:t>
      </w:r>
    </w:p>
    <w:p>
      <w:pPr>
        <w:jc w:val="center"/>
      </w:pPr>
      <w:r>
        <w:drawing>
          <wp:inline xmlns:a="http://schemas.openxmlformats.org/drawingml/2006/main" xmlns:pic="http://schemas.openxmlformats.org/drawingml/2006/picture">
            <wp:extent cx="6263640" cy="3805907"/>
            <wp:docPr id="12" name="Picture 12" descr="Figure 12. Illustrative remediation and engagement-level audit readiness workspaces."/>
            <wp:cNvGraphicFramePr>
              <a:graphicFrameLocks noChangeAspect="1"/>
            </wp:cNvGraphicFramePr>
            <a:graphic>
              <a:graphicData uri="http://schemas.openxmlformats.org/drawingml/2006/picture">
                <pic:pic>
                  <pic:nvPicPr>
                    <pic:cNvPr id="0" name="12_remediation_audit.png"/>
                    <pic:cNvPicPr/>
                  </pic:nvPicPr>
                  <pic:blipFill>
                    <a:blip r:embed="rId22"/>
                    <a:stretch>
                      <a:fillRect/>
                    </a:stretch>
                  </pic:blipFill>
                  <pic:spPr>
                    <a:xfrm>
                      <a:off x="0" y="0"/>
                      <a:ext cx="6263640" cy="3805907"/>
                    </a:xfrm>
                    <a:prstGeom prst="rect"/>
                  </pic:spPr>
                </pic:pic>
              </a:graphicData>
            </a:graphic>
          </wp:inline>
        </w:drawing>
      </w:r>
    </w:p>
    <w:p>
      <w:pPr>
        <w:spacing w:after="160"/>
        <w:jc w:val="center"/>
      </w:pPr>
      <w:r>
        <w:rPr>
          <w:rFonts w:ascii="Aptos" w:hAnsi="Aptos"/>
          <w:i/>
          <w:color w:val="6B6470"/>
          <w:sz w:val="17"/>
        </w:rPr>
        <w:t>Figure 12. Illustrative remediation and engagement-level audit readiness workspaces.</w:t>
      </w:r>
    </w:p>
    <w:p>
      <w:pPr>
        <w:pStyle w:val="Heading2"/>
      </w:pPr>
      <w:r>
        <w:rPr>
          <w:rFonts w:ascii="Aptos" w:hAnsi="Aptos"/>
          <w:b/>
          <w:color w:val="24152E"/>
          <w:sz w:val="28"/>
        </w:rPr>
        <w:t>18.1 Create and manage issues</w:t>
      </w:r>
    </w:p>
    <w:tbl>
      <w:tblPr>
        <w:tblStyle w:val="TableGrid"/>
        <w:tblW w:type="auto" w:w="0"/>
        <w:jc w:val="center"/>
        <w:tblLook w:firstColumn="1" w:firstRow="1" w:lastColumn="0" w:lastRow="0" w:noHBand="0" w:noVBand="1" w:val="04A0"/>
      </w:tblPr>
      <w:tblGrid>
        <w:gridCol w:w="4997"/>
        <w:gridCol w:w="4997"/>
      </w:tblGrid>
      <w:tr>
        <w:tc>
          <w:tcPr>
            <w:tcW w:type="dxa" w:w="2736"/>
            <w:shd w:fill="4B0983"/>
            <w:vAlign w:val="center"/>
          </w:tcPr>
          <w:p>
            <w:pPr>
              <w:jc w:val="left"/>
            </w:pPr>
            <w:r>
              <w:rPr>
                <w:rFonts w:ascii="Aptos" w:hAnsi="Aptos"/>
                <w:b/>
                <w:color w:val="FFFFFF"/>
                <w:sz w:val="17"/>
              </w:rPr>
              <w:t>Field</w:t>
            </w:r>
          </w:p>
        </w:tc>
        <w:tc>
          <w:tcPr>
            <w:tcW w:type="dxa" w:w="8064"/>
            <w:shd w:fill="4B0983"/>
            <w:vAlign w:val="center"/>
          </w:tcPr>
          <w:p>
            <w:pPr>
              <w:jc w:val="left"/>
            </w:pPr>
            <w:r>
              <w:rPr>
                <w:rFonts w:ascii="Aptos" w:hAnsi="Aptos"/>
                <w:b/>
                <w:color w:val="FFFFFF"/>
                <w:sz w:val="17"/>
              </w:rPr>
              <w:t>Purpose</w:t>
            </w:r>
          </w:p>
        </w:tc>
      </w:tr>
      <w:tr>
        <w:tc>
          <w:tcPr>
            <w:tcW w:type="dxa" w:w="2736"/>
            <w:vAlign w:val="top"/>
            <w:tcBorders>
              <w:top w:val="single" w:sz="4" w:color="D8D2DE"/>
              <w:left w:val="single" w:sz="4" w:color="D8D2DE"/>
              <w:bottom w:val="single" w:sz="4" w:color="D8D2DE"/>
              <w:right w:val="single" w:sz="4" w:color="D8D2DE"/>
            </w:tcBorders>
          </w:tcPr>
          <w:p>
            <w:r>
              <w:rPr>
                <w:rFonts w:ascii="Aptos" w:hAnsi="Aptos"/>
                <w:sz w:val="17"/>
              </w:rPr>
              <w:t>Issue title / description</w:t>
            </w:r>
          </w:p>
        </w:tc>
        <w:tc>
          <w:tcPr>
            <w:tcW w:type="dxa" w:w="8064"/>
            <w:vAlign w:val="top"/>
            <w:tcBorders>
              <w:top w:val="single" w:sz="4" w:color="D8D2DE"/>
              <w:left w:val="single" w:sz="4" w:color="D8D2DE"/>
              <w:bottom w:val="single" w:sz="4" w:color="D8D2DE"/>
              <w:right w:val="single" w:sz="4" w:color="D8D2DE"/>
            </w:tcBorders>
          </w:tcPr>
          <w:p>
            <w:r>
              <w:rPr>
                <w:rFonts w:ascii="Aptos" w:hAnsi="Aptos"/>
                <w:sz w:val="17"/>
              </w:rPr>
              <w:t>Describe the control problem or observation clearly.</w:t>
            </w:r>
          </w:p>
        </w:tc>
      </w:tr>
      <w:tr>
        <w:tc>
          <w:tcPr>
            <w:tcW w:type="dxa" w:w="2736"/>
            <w:vAlign w:val="top"/>
            <w:tcBorders>
              <w:top w:val="single" w:sz="4" w:color="D8D2DE"/>
              <w:left w:val="single" w:sz="4" w:color="D8D2DE"/>
              <w:bottom w:val="single" w:sz="4" w:color="D8D2DE"/>
              <w:right w:val="single" w:sz="4" w:color="D8D2DE"/>
            </w:tcBorders>
          </w:tcPr>
          <w:p>
            <w:r>
              <w:rPr>
                <w:rFonts w:ascii="Aptos" w:hAnsi="Aptos"/>
                <w:sz w:val="17"/>
              </w:rPr>
              <w:t>Severity</w:t>
            </w:r>
          </w:p>
        </w:tc>
        <w:tc>
          <w:tcPr>
            <w:tcW w:type="dxa" w:w="8064"/>
            <w:vAlign w:val="top"/>
            <w:tcBorders>
              <w:top w:val="single" w:sz="4" w:color="D8D2DE"/>
              <w:left w:val="single" w:sz="4" w:color="D8D2DE"/>
              <w:bottom w:val="single" w:sz="4" w:color="D8D2DE"/>
              <w:right w:val="single" w:sz="4" w:color="D8D2DE"/>
            </w:tcBorders>
          </w:tcPr>
          <w:p>
            <w:r>
              <w:rPr>
                <w:rFonts w:ascii="Aptos" w:hAnsi="Aptos"/>
                <w:sz w:val="17"/>
              </w:rPr>
              <w:t>Low, Medium, High or Critical under the current fallback schema.</w:t>
            </w:r>
          </w:p>
        </w:tc>
      </w:tr>
      <w:tr>
        <w:tc>
          <w:tcPr>
            <w:tcW w:type="dxa" w:w="2736"/>
            <w:vAlign w:val="top"/>
            <w:tcBorders>
              <w:top w:val="single" w:sz="4" w:color="D8D2DE"/>
              <w:left w:val="single" w:sz="4" w:color="D8D2DE"/>
              <w:bottom w:val="single" w:sz="4" w:color="D8D2DE"/>
              <w:right w:val="single" w:sz="4" w:color="D8D2DE"/>
            </w:tcBorders>
          </w:tcPr>
          <w:p>
            <w:r>
              <w:rPr>
                <w:rFonts w:ascii="Aptos" w:hAnsi="Aptos"/>
                <w:sz w:val="17"/>
              </w:rPr>
              <w:t>Status</w:t>
            </w:r>
          </w:p>
        </w:tc>
        <w:tc>
          <w:tcPr>
            <w:tcW w:type="dxa" w:w="8064"/>
            <w:vAlign w:val="top"/>
            <w:tcBorders>
              <w:top w:val="single" w:sz="4" w:color="D8D2DE"/>
              <w:left w:val="single" w:sz="4" w:color="D8D2DE"/>
              <w:bottom w:val="single" w:sz="4" w:color="D8D2DE"/>
              <w:right w:val="single" w:sz="4" w:color="D8D2DE"/>
            </w:tcBorders>
          </w:tcPr>
          <w:p>
            <w:r>
              <w:rPr>
                <w:rFonts w:ascii="Aptos" w:hAnsi="Aptos"/>
                <w:sz w:val="17"/>
              </w:rPr>
              <w:t>Current fallback states include Open, In Progress, Blocked, Resolved, Accepted and Closed.</w:t>
            </w:r>
          </w:p>
        </w:tc>
      </w:tr>
      <w:tr>
        <w:tc>
          <w:tcPr>
            <w:tcW w:type="dxa" w:w="2736"/>
            <w:vAlign w:val="top"/>
            <w:tcBorders>
              <w:top w:val="single" w:sz="4" w:color="D8D2DE"/>
              <w:left w:val="single" w:sz="4" w:color="D8D2DE"/>
              <w:bottom w:val="single" w:sz="4" w:color="D8D2DE"/>
              <w:right w:val="single" w:sz="4" w:color="D8D2DE"/>
            </w:tcBorders>
          </w:tcPr>
          <w:p>
            <w:r>
              <w:rPr>
                <w:rFonts w:ascii="Aptos" w:hAnsi="Aptos"/>
                <w:sz w:val="17"/>
              </w:rPr>
              <w:t>Source</w:t>
            </w:r>
          </w:p>
        </w:tc>
        <w:tc>
          <w:tcPr>
            <w:tcW w:type="dxa" w:w="8064"/>
            <w:vAlign w:val="top"/>
            <w:tcBorders>
              <w:top w:val="single" w:sz="4" w:color="D8D2DE"/>
              <w:left w:val="single" w:sz="4" w:color="D8D2DE"/>
              <w:bottom w:val="single" w:sz="4" w:color="D8D2DE"/>
              <w:right w:val="single" w:sz="4" w:color="D8D2DE"/>
            </w:tcBorders>
          </w:tcPr>
          <w:p>
            <w:r>
              <w:rPr>
                <w:rFonts w:ascii="Aptos" w:hAnsi="Aptos"/>
                <w:sz w:val="17"/>
              </w:rPr>
              <w:t>May identify Manual, Assessment, Test, Evidence or System where supported.</w:t>
            </w:r>
          </w:p>
        </w:tc>
      </w:tr>
      <w:tr>
        <w:tc>
          <w:tcPr>
            <w:tcW w:type="dxa" w:w="2736"/>
            <w:vAlign w:val="top"/>
            <w:tcBorders>
              <w:top w:val="single" w:sz="4" w:color="D8D2DE"/>
              <w:left w:val="single" w:sz="4" w:color="D8D2DE"/>
              <w:bottom w:val="single" w:sz="4" w:color="D8D2DE"/>
              <w:right w:val="single" w:sz="4" w:color="D8D2DE"/>
            </w:tcBorders>
          </w:tcPr>
          <w:p>
            <w:r>
              <w:rPr>
                <w:rFonts w:ascii="Aptos" w:hAnsi="Aptos"/>
                <w:sz w:val="17"/>
              </w:rPr>
              <w:t>Scoped asset</w:t>
            </w:r>
          </w:p>
        </w:tc>
        <w:tc>
          <w:tcPr>
            <w:tcW w:type="dxa" w:w="8064"/>
            <w:vAlign w:val="top"/>
            <w:tcBorders>
              <w:top w:val="single" w:sz="4" w:color="D8D2DE"/>
              <w:left w:val="single" w:sz="4" w:color="D8D2DE"/>
              <w:bottom w:val="single" w:sz="4" w:color="D8D2DE"/>
              <w:right w:val="single" w:sz="4" w:color="D8D2DE"/>
            </w:tcBorders>
          </w:tcPr>
          <w:p>
            <w:r>
              <w:rPr>
                <w:rFonts w:ascii="Aptos" w:hAnsi="Aptos"/>
                <w:sz w:val="17"/>
              </w:rPr>
              <w:t>Tie the issue to a specific asset where appropriate.</w:t>
            </w:r>
          </w:p>
        </w:tc>
      </w:tr>
      <w:tr>
        <w:tc>
          <w:tcPr>
            <w:tcW w:type="dxa" w:w="2736"/>
            <w:vAlign w:val="top"/>
            <w:tcBorders>
              <w:top w:val="single" w:sz="4" w:color="D8D2DE"/>
              <w:left w:val="single" w:sz="4" w:color="D8D2DE"/>
              <w:bottom w:val="single" w:sz="4" w:color="D8D2DE"/>
              <w:right w:val="single" w:sz="4" w:color="D8D2DE"/>
            </w:tcBorders>
          </w:tcPr>
          <w:p>
            <w:r>
              <w:rPr>
                <w:rFonts w:ascii="Aptos" w:hAnsi="Aptos"/>
                <w:sz w:val="17"/>
              </w:rPr>
              <w:t>Owner</w:t>
            </w:r>
          </w:p>
        </w:tc>
        <w:tc>
          <w:tcPr>
            <w:tcW w:type="dxa" w:w="8064"/>
            <w:vAlign w:val="top"/>
            <w:tcBorders>
              <w:top w:val="single" w:sz="4" w:color="D8D2DE"/>
              <w:left w:val="single" w:sz="4" w:color="D8D2DE"/>
              <w:bottom w:val="single" w:sz="4" w:color="D8D2DE"/>
              <w:right w:val="single" w:sz="4" w:color="D8D2DE"/>
            </w:tcBorders>
          </w:tcPr>
          <w:p>
            <w:r>
              <w:rPr>
                <w:rFonts w:ascii="Aptos" w:hAnsi="Aptos"/>
                <w:sz w:val="17"/>
              </w:rPr>
              <w:t>Assign remediation accountability.</w:t>
            </w:r>
          </w:p>
        </w:tc>
      </w:tr>
      <w:tr>
        <w:tc>
          <w:tcPr>
            <w:tcW w:type="dxa" w:w="2736"/>
            <w:vAlign w:val="top"/>
            <w:tcBorders>
              <w:top w:val="single" w:sz="4" w:color="D8D2DE"/>
              <w:left w:val="single" w:sz="4" w:color="D8D2DE"/>
              <w:bottom w:val="single" w:sz="4" w:color="D8D2DE"/>
              <w:right w:val="single" w:sz="4" w:color="D8D2DE"/>
            </w:tcBorders>
          </w:tcPr>
          <w:p>
            <w:r>
              <w:rPr>
                <w:rFonts w:ascii="Aptos" w:hAnsi="Aptos"/>
                <w:sz w:val="17"/>
              </w:rPr>
              <w:t>Detected / identified at</w:t>
            </w:r>
          </w:p>
        </w:tc>
        <w:tc>
          <w:tcPr>
            <w:tcW w:type="dxa" w:w="8064"/>
            <w:vAlign w:val="top"/>
            <w:tcBorders>
              <w:top w:val="single" w:sz="4" w:color="D8D2DE"/>
              <w:left w:val="single" w:sz="4" w:color="D8D2DE"/>
              <w:bottom w:val="single" w:sz="4" w:color="D8D2DE"/>
              <w:right w:val="single" w:sz="4" w:color="D8D2DE"/>
            </w:tcBorders>
          </w:tcPr>
          <w:p>
            <w:r>
              <w:rPr>
                <w:rFonts w:ascii="Aptos" w:hAnsi="Aptos"/>
                <w:sz w:val="17"/>
              </w:rPr>
              <w:t>Record when the problem was identified.</w:t>
            </w:r>
          </w:p>
        </w:tc>
      </w:tr>
      <w:tr>
        <w:tc>
          <w:tcPr>
            <w:tcW w:type="dxa" w:w="2736"/>
            <w:vAlign w:val="top"/>
            <w:tcBorders>
              <w:top w:val="single" w:sz="4" w:color="D8D2DE"/>
              <w:left w:val="single" w:sz="4" w:color="D8D2DE"/>
              <w:bottom w:val="single" w:sz="4" w:color="D8D2DE"/>
              <w:right w:val="single" w:sz="4" w:color="D8D2DE"/>
            </w:tcBorders>
          </w:tcPr>
          <w:p>
            <w:r>
              <w:rPr>
                <w:rFonts w:ascii="Aptos" w:hAnsi="Aptos"/>
                <w:sz w:val="17"/>
              </w:rPr>
              <w:t>Remediation due</w:t>
            </w:r>
          </w:p>
        </w:tc>
        <w:tc>
          <w:tcPr>
            <w:tcW w:type="dxa" w:w="8064"/>
            <w:vAlign w:val="top"/>
            <w:tcBorders>
              <w:top w:val="single" w:sz="4" w:color="D8D2DE"/>
              <w:left w:val="single" w:sz="4" w:color="D8D2DE"/>
              <w:bottom w:val="single" w:sz="4" w:color="D8D2DE"/>
              <w:right w:val="single" w:sz="4" w:color="D8D2DE"/>
            </w:tcBorders>
          </w:tcPr>
          <w:p>
            <w:r>
              <w:rPr>
                <w:rFonts w:ascii="Aptos" w:hAnsi="Aptos"/>
                <w:sz w:val="17"/>
              </w:rPr>
              <w:t>Set the expected correction deadline.</w:t>
            </w:r>
          </w:p>
        </w:tc>
      </w:tr>
      <w:tr>
        <w:tc>
          <w:tcPr>
            <w:tcW w:type="dxa" w:w="2736"/>
            <w:vAlign w:val="top"/>
            <w:tcBorders>
              <w:top w:val="single" w:sz="4" w:color="D8D2DE"/>
              <w:left w:val="single" w:sz="4" w:color="D8D2DE"/>
              <w:bottom w:val="single" w:sz="4" w:color="D8D2DE"/>
              <w:right w:val="single" w:sz="4" w:color="D8D2DE"/>
            </w:tcBorders>
          </w:tcPr>
          <w:p>
            <w:r>
              <w:rPr>
                <w:rFonts w:ascii="Aptos" w:hAnsi="Aptos"/>
                <w:sz w:val="17"/>
              </w:rPr>
              <w:t>Resolution / remediation notes</w:t>
            </w:r>
          </w:p>
        </w:tc>
        <w:tc>
          <w:tcPr>
            <w:tcW w:type="dxa" w:w="8064"/>
            <w:vAlign w:val="top"/>
            <w:tcBorders>
              <w:top w:val="single" w:sz="4" w:color="D8D2DE"/>
              <w:left w:val="single" w:sz="4" w:color="D8D2DE"/>
              <w:bottom w:val="single" w:sz="4" w:color="D8D2DE"/>
              <w:right w:val="single" w:sz="4" w:color="D8D2DE"/>
            </w:tcBorders>
          </w:tcPr>
          <w:p>
            <w:r>
              <w:rPr>
                <w:rFonts w:ascii="Aptos" w:hAnsi="Aptos"/>
                <w:sz w:val="17"/>
              </w:rPr>
              <w:t>Document what changed and the basis for closure/acceptance.</w:t>
            </w:r>
          </w:p>
        </w:tc>
      </w:tr>
    </w:tbl>
    <w:p>
      <w:pPr>
        <w:spacing w:after="20"/>
      </w:pPr>
    </w:p>
    <w:p>
      <w:pPr>
        <w:pStyle w:val="Heading2"/>
      </w:pPr>
      <w:r>
        <w:rPr>
          <w:rFonts w:ascii="Aptos" w:hAnsi="Aptos"/>
          <w:b/>
          <w:color w:val="24152E"/>
          <w:sz w:val="28"/>
        </w:rPr>
        <w:t>18.2 Request and manage exceptions</w:t>
      </w:r>
    </w:p>
    <w:tbl>
      <w:tblPr>
        <w:tblStyle w:val="TableGrid"/>
        <w:tblW w:type="auto" w:w="0"/>
        <w:jc w:val="center"/>
        <w:tblLook w:firstColumn="1" w:firstRow="1" w:lastColumn="0" w:lastRow="0" w:noHBand="0" w:noVBand="1" w:val="04A0"/>
      </w:tblPr>
      <w:tblGrid>
        <w:gridCol w:w="4997"/>
        <w:gridCol w:w="4997"/>
      </w:tblGrid>
      <w:tr>
        <w:tc>
          <w:tcPr>
            <w:tcW w:type="dxa" w:w="3024"/>
            <w:shd w:fill="4B0983"/>
            <w:vAlign w:val="center"/>
          </w:tcPr>
          <w:p>
            <w:pPr>
              <w:jc w:val="left"/>
            </w:pPr>
            <w:r>
              <w:rPr>
                <w:rFonts w:ascii="Aptos" w:hAnsi="Aptos"/>
                <w:b/>
                <w:color w:val="FFFFFF"/>
                <w:sz w:val="17"/>
              </w:rPr>
              <w:t>Field</w:t>
            </w:r>
          </w:p>
        </w:tc>
        <w:tc>
          <w:tcPr>
            <w:tcW w:type="dxa" w:w="7776"/>
            <w:shd w:fill="4B0983"/>
            <w:vAlign w:val="center"/>
          </w:tcPr>
          <w:p>
            <w:pPr>
              <w:jc w:val="left"/>
            </w:pPr>
            <w:r>
              <w:rPr>
                <w:rFonts w:ascii="Aptos" w:hAnsi="Aptos"/>
                <w:b/>
                <w:color w:val="FFFFFF"/>
                <w:sz w:val="17"/>
              </w:rPr>
              <w:t>Purpose</w:t>
            </w:r>
          </w:p>
        </w:tc>
      </w:tr>
      <w:tr>
        <w:tc>
          <w:tcPr>
            <w:tcW w:type="dxa" w:w="3024"/>
            <w:vAlign w:val="top"/>
            <w:tcBorders>
              <w:top w:val="single" w:sz="4" w:color="D8D2DE"/>
              <w:left w:val="single" w:sz="4" w:color="D8D2DE"/>
              <w:bottom w:val="single" w:sz="4" w:color="D8D2DE"/>
              <w:right w:val="single" w:sz="4" w:color="D8D2DE"/>
            </w:tcBorders>
          </w:tcPr>
          <w:p>
            <w:r>
              <w:rPr>
                <w:rFonts w:ascii="Aptos" w:hAnsi="Aptos"/>
                <w:sz w:val="17"/>
              </w:rPr>
              <w:t>Exception title / reason</w:t>
            </w:r>
          </w:p>
        </w:tc>
        <w:tc>
          <w:tcPr>
            <w:tcW w:type="dxa" w:w="7776"/>
            <w:vAlign w:val="top"/>
            <w:tcBorders>
              <w:top w:val="single" w:sz="4" w:color="D8D2DE"/>
              <w:left w:val="single" w:sz="4" w:color="D8D2DE"/>
              <w:bottom w:val="single" w:sz="4" w:color="D8D2DE"/>
              <w:right w:val="single" w:sz="4" w:color="D8D2DE"/>
            </w:tcBorders>
          </w:tcPr>
          <w:p>
            <w:r>
              <w:rPr>
                <w:rFonts w:ascii="Aptos" w:hAnsi="Aptos"/>
                <w:sz w:val="17"/>
              </w:rPr>
              <w:t>State exactly what normal control requirement or operation is being excepted and why.</w:t>
            </w:r>
          </w:p>
        </w:tc>
      </w:tr>
      <w:tr>
        <w:tc>
          <w:tcPr>
            <w:tcW w:type="dxa" w:w="3024"/>
            <w:vAlign w:val="top"/>
            <w:tcBorders>
              <w:top w:val="single" w:sz="4" w:color="D8D2DE"/>
              <w:left w:val="single" w:sz="4" w:color="D8D2DE"/>
              <w:bottom w:val="single" w:sz="4" w:color="D8D2DE"/>
              <w:right w:val="single" w:sz="4" w:color="D8D2DE"/>
            </w:tcBorders>
          </w:tcPr>
          <w:p>
            <w:r>
              <w:rPr>
                <w:rFonts w:ascii="Aptos" w:hAnsi="Aptos"/>
                <w:sz w:val="17"/>
              </w:rPr>
              <w:t>Business justification</w:t>
            </w:r>
          </w:p>
        </w:tc>
        <w:tc>
          <w:tcPr>
            <w:tcW w:type="dxa" w:w="7776"/>
            <w:vAlign w:val="top"/>
            <w:tcBorders>
              <w:top w:val="single" w:sz="4" w:color="D8D2DE"/>
              <w:left w:val="single" w:sz="4" w:color="D8D2DE"/>
              <w:bottom w:val="single" w:sz="4" w:color="D8D2DE"/>
              <w:right w:val="single" w:sz="4" w:color="D8D2DE"/>
            </w:tcBorders>
          </w:tcPr>
          <w:p>
            <w:r>
              <w:rPr>
                <w:rFonts w:ascii="Aptos" w:hAnsi="Aptos"/>
                <w:sz w:val="17"/>
              </w:rPr>
              <w:t>Explain why the exception is necessary and acceptable.</w:t>
            </w:r>
          </w:p>
        </w:tc>
      </w:tr>
      <w:tr>
        <w:tc>
          <w:tcPr>
            <w:tcW w:type="dxa" w:w="3024"/>
            <w:vAlign w:val="top"/>
            <w:tcBorders>
              <w:top w:val="single" w:sz="4" w:color="D8D2DE"/>
              <w:left w:val="single" w:sz="4" w:color="D8D2DE"/>
              <w:bottom w:val="single" w:sz="4" w:color="D8D2DE"/>
              <w:right w:val="single" w:sz="4" w:color="D8D2DE"/>
            </w:tcBorders>
          </w:tcPr>
          <w:p>
            <w:r>
              <w:rPr>
                <w:rFonts w:ascii="Aptos" w:hAnsi="Aptos"/>
                <w:sz w:val="17"/>
              </w:rPr>
              <w:t>Status</w:t>
            </w:r>
          </w:p>
        </w:tc>
        <w:tc>
          <w:tcPr>
            <w:tcW w:type="dxa" w:w="7776"/>
            <w:vAlign w:val="top"/>
            <w:tcBorders>
              <w:top w:val="single" w:sz="4" w:color="D8D2DE"/>
              <w:left w:val="single" w:sz="4" w:color="D8D2DE"/>
              <w:bottom w:val="single" w:sz="4" w:color="D8D2DE"/>
              <w:right w:val="single" w:sz="4" w:color="D8D2DE"/>
            </w:tcBorders>
          </w:tcPr>
          <w:p>
            <w:r>
              <w:rPr>
                <w:rFonts w:ascii="Aptos" w:hAnsi="Aptos"/>
                <w:sz w:val="17"/>
              </w:rPr>
              <w:t>Current fallback states include Requested, Approved, Rejected, Expired, Revoked and Closed.</w:t>
            </w:r>
          </w:p>
        </w:tc>
      </w:tr>
      <w:tr>
        <w:tc>
          <w:tcPr>
            <w:tcW w:type="dxa" w:w="3024"/>
            <w:vAlign w:val="top"/>
            <w:tcBorders>
              <w:top w:val="single" w:sz="4" w:color="D8D2DE"/>
              <w:left w:val="single" w:sz="4" w:color="D8D2DE"/>
              <w:bottom w:val="single" w:sz="4" w:color="D8D2DE"/>
              <w:right w:val="single" w:sz="4" w:color="D8D2DE"/>
            </w:tcBorders>
          </w:tcPr>
          <w:p>
            <w:r>
              <w:rPr>
                <w:rFonts w:ascii="Aptos" w:hAnsi="Aptos"/>
                <w:sz w:val="17"/>
              </w:rPr>
              <w:t>Valid from / Expires at</w:t>
            </w:r>
          </w:p>
        </w:tc>
        <w:tc>
          <w:tcPr>
            <w:tcW w:type="dxa" w:w="7776"/>
            <w:vAlign w:val="top"/>
            <w:tcBorders>
              <w:top w:val="single" w:sz="4" w:color="D8D2DE"/>
              <w:left w:val="single" w:sz="4" w:color="D8D2DE"/>
              <w:bottom w:val="single" w:sz="4" w:color="D8D2DE"/>
              <w:right w:val="single" w:sz="4" w:color="D8D2DE"/>
            </w:tcBorders>
          </w:tcPr>
          <w:p>
            <w:r>
              <w:rPr>
                <w:rFonts w:ascii="Aptos" w:hAnsi="Aptos"/>
                <w:sz w:val="17"/>
              </w:rPr>
              <w:t>Define the exception window.</w:t>
            </w:r>
          </w:p>
        </w:tc>
      </w:tr>
      <w:tr>
        <w:tc>
          <w:tcPr>
            <w:tcW w:type="dxa" w:w="3024"/>
            <w:vAlign w:val="top"/>
            <w:tcBorders>
              <w:top w:val="single" w:sz="4" w:color="D8D2DE"/>
              <w:left w:val="single" w:sz="4" w:color="D8D2DE"/>
              <w:bottom w:val="single" w:sz="4" w:color="D8D2DE"/>
              <w:right w:val="single" w:sz="4" w:color="D8D2DE"/>
            </w:tcBorders>
          </w:tcPr>
          <w:p>
            <w:r>
              <w:rPr>
                <w:rFonts w:ascii="Aptos" w:hAnsi="Aptos"/>
                <w:sz w:val="17"/>
              </w:rPr>
              <w:t>Next review</w:t>
            </w:r>
          </w:p>
        </w:tc>
        <w:tc>
          <w:tcPr>
            <w:tcW w:type="dxa" w:w="7776"/>
            <w:vAlign w:val="top"/>
            <w:tcBorders>
              <w:top w:val="single" w:sz="4" w:color="D8D2DE"/>
              <w:left w:val="single" w:sz="4" w:color="D8D2DE"/>
              <w:bottom w:val="single" w:sz="4" w:color="D8D2DE"/>
              <w:right w:val="single" w:sz="4" w:color="D8D2DE"/>
            </w:tcBorders>
          </w:tcPr>
          <w:p>
            <w:r>
              <w:rPr>
                <w:rFonts w:ascii="Aptos" w:hAnsi="Aptos"/>
                <w:sz w:val="17"/>
              </w:rPr>
              <w:t>Schedule formal reconsideration.</w:t>
            </w:r>
          </w:p>
        </w:tc>
      </w:tr>
      <w:tr>
        <w:tc>
          <w:tcPr>
            <w:tcW w:type="dxa" w:w="3024"/>
            <w:vAlign w:val="top"/>
            <w:tcBorders>
              <w:top w:val="single" w:sz="4" w:color="D8D2DE"/>
              <w:left w:val="single" w:sz="4" w:color="D8D2DE"/>
              <w:bottom w:val="single" w:sz="4" w:color="D8D2DE"/>
              <w:right w:val="single" w:sz="4" w:color="D8D2DE"/>
            </w:tcBorders>
          </w:tcPr>
          <w:p>
            <w:r>
              <w:rPr>
                <w:rFonts w:ascii="Aptos" w:hAnsi="Aptos"/>
                <w:sz w:val="17"/>
              </w:rPr>
              <w:t>Related risk</w:t>
            </w:r>
          </w:p>
        </w:tc>
        <w:tc>
          <w:tcPr>
            <w:tcW w:type="dxa" w:w="7776"/>
            <w:vAlign w:val="top"/>
            <w:tcBorders>
              <w:top w:val="single" w:sz="4" w:color="D8D2DE"/>
              <w:left w:val="single" w:sz="4" w:color="D8D2DE"/>
              <w:bottom w:val="single" w:sz="4" w:color="D8D2DE"/>
              <w:right w:val="single" w:sz="4" w:color="D8D2DE"/>
            </w:tcBorders>
          </w:tcPr>
          <w:p>
            <w:r>
              <w:rPr>
                <w:rFonts w:ascii="Aptos" w:hAnsi="Aptos"/>
                <w:sz w:val="17"/>
              </w:rPr>
              <w:t>Select an existing Risk Management register item; PurpleWASP stores the numeric register key while showing code/title.</w:t>
            </w:r>
          </w:p>
        </w:tc>
      </w:tr>
      <w:tr>
        <w:tc>
          <w:tcPr>
            <w:tcW w:type="dxa" w:w="3024"/>
            <w:vAlign w:val="top"/>
            <w:tcBorders>
              <w:top w:val="single" w:sz="4" w:color="D8D2DE"/>
              <w:left w:val="single" w:sz="4" w:color="D8D2DE"/>
              <w:bottom w:val="single" w:sz="4" w:color="D8D2DE"/>
              <w:right w:val="single" w:sz="4" w:color="D8D2DE"/>
            </w:tcBorders>
          </w:tcPr>
          <w:p>
            <w:r>
              <w:rPr>
                <w:rFonts w:ascii="Aptos" w:hAnsi="Aptos"/>
                <w:sz w:val="17"/>
              </w:rPr>
              <w:t>Compensating control / safeguard</w:t>
            </w:r>
          </w:p>
        </w:tc>
        <w:tc>
          <w:tcPr>
            <w:tcW w:type="dxa" w:w="7776"/>
            <w:vAlign w:val="top"/>
            <w:tcBorders>
              <w:top w:val="single" w:sz="4" w:color="D8D2DE"/>
              <w:left w:val="single" w:sz="4" w:color="D8D2DE"/>
              <w:bottom w:val="single" w:sz="4" w:color="D8D2DE"/>
              <w:right w:val="single" w:sz="4" w:color="D8D2DE"/>
            </w:tcBorders>
          </w:tcPr>
          <w:p>
            <w:r>
              <w:rPr>
                <w:rFonts w:ascii="Aptos" w:hAnsi="Aptos"/>
                <w:sz w:val="17"/>
              </w:rPr>
              <w:t>Describe the mitigation that reduces risk while the exception exists.</w:t>
            </w:r>
          </w:p>
        </w:tc>
      </w:tr>
      <w:tr>
        <w:tc>
          <w:tcPr>
            <w:tcW w:type="dxa" w:w="3024"/>
            <w:vAlign w:val="top"/>
            <w:tcBorders>
              <w:top w:val="single" w:sz="4" w:color="D8D2DE"/>
              <w:left w:val="single" w:sz="4" w:color="D8D2DE"/>
              <w:bottom w:val="single" w:sz="4" w:color="D8D2DE"/>
              <w:right w:val="single" w:sz="4" w:color="D8D2DE"/>
            </w:tcBorders>
          </w:tcPr>
          <w:p>
            <w:r>
              <w:rPr>
                <w:rFonts w:ascii="Aptos" w:hAnsi="Aptos"/>
                <w:sz w:val="17"/>
              </w:rPr>
              <w:t>Compensating organisation control</w:t>
            </w:r>
          </w:p>
        </w:tc>
        <w:tc>
          <w:tcPr>
            <w:tcW w:type="dxa" w:w="7776"/>
            <w:vAlign w:val="top"/>
            <w:tcBorders>
              <w:top w:val="single" w:sz="4" w:color="D8D2DE"/>
              <w:left w:val="single" w:sz="4" w:color="D8D2DE"/>
              <w:bottom w:val="single" w:sz="4" w:color="D8D2DE"/>
              <w:right w:val="single" w:sz="4" w:color="D8D2DE"/>
            </w:tcBorders>
          </w:tcPr>
          <w:p>
            <w:r>
              <w:rPr>
                <w:rFonts w:ascii="Aptos" w:hAnsi="Aptos"/>
                <w:sz w:val="17"/>
              </w:rPr>
              <w:t>Select an existing Control Management control; a control cannot select itself as its compensating control.</w:t>
            </w:r>
          </w:p>
        </w:tc>
      </w:tr>
    </w:tbl>
    <w:p>
      <w:pPr>
        <w:spacing w:after="20"/>
      </w:pPr>
    </w:p>
    <w:tbl>
      <w:tblPr>
        <w:tblW w:type="auto" w:w="0"/>
        <w:jc w:val="center"/>
        <w:tblLayout w:type="autofit"/>
        <w:tblLook w:firstColumn="1" w:firstRow="1" w:lastColumn="0" w:lastRow="0" w:noHBand="0" w:noVBand="1" w:val="04A0"/>
      </w:tblPr>
      <w:tblGrid>
        <w:gridCol w:w="9994"/>
      </w:tblGrid>
      <w:tr>
        <w:tc>
          <w:tcPr>
            <w:tcW w:type="dxa" w:w="9994"/>
            <w:shd w:fill="FFF7E6"/>
            <w:tcBorders>
              <w:top w:val="nil"/>
              <w:left w:val="single" w:sz="18" w:color="A46400"/>
              <w:bottom w:val="nil"/>
              <w:right w:val="nil"/>
            </w:tcBorders>
          </w:tcPr>
          <w:p>
            <w:pPr>
              <w:spacing w:after="60"/>
            </w:pPr>
            <w:r>
              <w:rPr>
                <w:rFonts w:ascii="Aptos" w:hAnsi="Aptos"/>
                <w:b/>
                <w:color w:val="A46400"/>
                <w:sz w:val="21"/>
              </w:rPr>
              <w:t>Type II exception visibility</w:t>
            </w:r>
          </w:p>
          <w:p>
            <w:pPr>
              <w:spacing w:after="0"/>
            </w:pPr>
            <w:r>
              <w:rPr>
                <w:rFonts w:ascii="Aptos" w:hAnsi="Aptos"/>
                <w:sz w:val="19"/>
              </w:rPr>
              <w:t>Approved exceptions that overlap the observation period remain visible even if they later expire. That historical period overlap can still matter to the service auditor.</w:t>
            </w:r>
          </w:p>
        </w:tc>
      </w:tr>
    </w:tbl>
    <w:p>
      <w:pPr>
        <w:spacing w:after="20"/>
      </w:pPr>
    </w:p>
    <w:p>
      <w:pPr>
        <w:pStyle w:val="Heading2"/>
      </w:pPr>
      <w:r>
        <w:rPr>
          <w:rFonts w:ascii="Aptos" w:hAnsi="Aptos"/>
          <w:b/>
          <w:color w:val="24152E"/>
          <w:sz w:val="28"/>
        </w:rPr>
        <w:t>18.3 Record the control readiness decision</w:t>
      </w:r>
    </w:p>
    <w:p>
      <w:pPr>
        <w:spacing w:after="100"/>
      </w:pPr>
      <w:r>
        <w:rPr>
          <w:rFonts w:ascii="Aptos" w:hAnsi="Aptos"/>
        </w:rPr>
        <w:t>PurpleWASP calculates a suggested state from implementation, assessment, evidence, testing, issue and exception signals. The suggestion is guidance only. The user records a separate engagement-specific decision with rationale and optional conditions/follow-up. A later decision supersedes the previous current row and preserves history.</w:t>
      </w:r>
    </w:p>
    <w:tbl>
      <w:tblPr>
        <w:tblStyle w:val="TableGrid"/>
        <w:tblW w:type="auto" w:w="0"/>
        <w:jc w:val="center"/>
        <w:tblLook w:firstColumn="1" w:firstRow="1" w:lastColumn="0" w:lastRow="0" w:noHBand="0" w:noVBand="1" w:val="04A0"/>
      </w:tblPr>
      <w:tblGrid>
        <w:gridCol w:w="4997"/>
        <w:gridCol w:w="4997"/>
      </w:tblGrid>
      <w:tr>
        <w:tc>
          <w:tcPr>
            <w:tcW w:type="dxa" w:w="2376"/>
            <w:shd w:fill="4B0983"/>
            <w:vAlign w:val="center"/>
          </w:tcPr>
          <w:p>
            <w:pPr>
              <w:jc w:val="left"/>
            </w:pPr>
            <w:r>
              <w:rPr>
                <w:rFonts w:ascii="Aptos" w:hAnsi="Aptos"/>
                <w:b/>
                <w:color w:val="FFFFFF"/>
                <w:sz w:val="17"/>
              </w:rPr>
              <w:t>Decision</w:t>
            </w:r>
          </w:p>
        </w:tc>
        <w:tc>
          <w:tcPr>
            <w:tcW w:type="dxa" w:w="8424"/>
            <w:shd w:fill="4B0983"/>
            <w:vAlign w:val="center"/>
          </w:tcPr>
          <w:p>
            <w:pPr>
              <w:jc w:val="left"/>
            </w:pPr>
            <w:r>
              <w:rPr>
                <w:rFonts w:ascii="Aptos" w:hAnsi="Aptos"/>
                <w:b/>
                <w:color w:val="FFFFFF"/>
                <w:sz w:val="17"/>
              </w:rPr>
              <w:t>Use it when</w:t>
            </w:r>
          </w:p>
        </w:tc>
      </w:tr>
      <w:tr>
        <w:tc>
          <w:tcPr>
            <w:tcW w:type="dxa" w:w="2376"/>
            <w:vAlign w:val="top"/>
            <w:tcBorders>
              <w:top w:val="single" w:sz="4" w:color="D8D2DE"/>
              <w:left w:val="single" w:sz="4" w:color="D8D2DE"/>
              <w:bottom w:val="single" w:sz="4" w:color="D8D2DE"/>
              <w:right w:val="single" w:sz="4" w:color="D8D2DE"/>
            </w:tcBorders>
          </w:tcPr>
          <w:p>
            <w:r>
              <w:rPr>
                <w:rFonts w:ascii="Aptos" w:hAnsi="Aptos"/>
                <w:sz w:val="17"/>
              </w:rPr>
              <w:t>Ready</w:t>
            </w:r>
          </w:p>
        </w:tc>
        <w:tc>
          <w:tcPr>
            <w:tcW w:type="dxa" w:w="8424"/>
            <w:vAlign w:val="top"/>
            <w:tcBorders>
              <w:top w:val="single" w:sz="4" w:color="D8D2DE"/>
              <w:left w:val="single" w:sz="4" w:color="D8D2DE"/>
              <w:bottom w:val="single" w:sz="4" w:color="D8D2DE"/>
              <w:right w:val="single" w:sz="4" w:color="D8D2DE"/>
            </w:tcBorders>
          </w:tcPr>
          <w:p>
            <w:r>
              <w:rPr>
                <w:rFonts w:ascii="Aptos" w:hAnsi="Aptos"/>
                <w:sz w:val="17"/>
              </w:rPr>
              <w:t>Management/assessor concludes the selected control is ready for the intended examination and no known blocker contradicts that conclusion.</w:t>
            </w:r>
          </w:p>
        </w:tc>
      </w:tr>
      <w:tr>
        <w:tc>
          <w:tcPr>
            <w:tcW w:type="dxa" w:w="2376"/>
            <w:vAlign w:val="top"/>
            <w:tcBorders>
              <w:top w:val="single" w:sz="4" w:color="D8D2DE"/>
              <w:left w:val="single" w:sz="4" w:color="D8D2DE"/>
              <w:bottom w:val="single" w:sz="4" w:color="D8D2DE"/>
              <w:right w:val="single" w:sz="4" w:color="D8D2DE"/>
            </w:tcBorders>
          </w:tcPr>
          <w:p>
            <w:r>
              <w:rPr>
                <w:rFonts w:ascii="Aptos" w:hAnsi="Aptos"/>
                <w:sz w:val="17"/>
              </w:rPr>
              <w:t>Conditionally Ready</w:t>
            </w:r>
          </w:p>
        </w:tc>
        <w:tc>
          <w:tcPr>
            <w:tcW w:type="dxa" w:w="8424"/>
            <w:vAlign w:val="top"/>
            <w:tcBorders>
              <w:top w:val="single" w:sz="4" w:color="D8D2DE"/>
              <w:left w:val="single" w:sz="4" w:color="D8D2DE"/>
              <w:bottom w:val="single" w:sz="4" w:color="D8D2DE"/>
              <w:right w:val="single" w:sz="4" w:color="D8D2DE"/>
            </w:tcBorders>
          </w:tcPr>
          <w:p>
            <w:r>
              <w:rPr>
                <w:rFonts w:ascii="Aptos" w:hAnsi="Aptos"/>
                <w:sz w:val="17"/>
              </w:rPr>
              <w:t>The control can proceed subject to specific documented conditions/follow-up.</w:t>
            </w:r>
          </w:p>
        </w:tc>
      </w:tr>
      <w:tr>
        <w:tc>
          <w:tcPr>
            <w:tcW w:type="dxa" w:w="2376"/>
            <w:vAlign w:val="top"/>
            <w:tcBorders>
              <w:top w:val="single" w:sz="4" w:color="D8D2DE"/>
              <w:left w:val="single" w:sz="4" w:color="D8D2DE"/>
              <w:bottom w:val="single" w:sz="4" w:color="D8D2DE"/>
              <w:right w:val="single" w:sz="4" w:color="D8D2DE"/>
            </w:tcBorders>
          </w:tcPr>
          <w:p>
            <w:r>
              <w:rPr>
                <w:rFonts w:ascii="Aptos" w:hAnsi="Aptos"/>
                <w:sz w:val="17"/>
              </w:rPr>
              <w:t>Not Ready</w:t>
            </w:r>
          </w:p>
        </w:tc>
        <w:tc>
          <w:tcPr>
            <w:tcW w:type="dxa" w:w="8424"/>
            <w:vAlign w:val="top"/>
            <w:tcBorders>
              <w:top w:val="single" w:sz="4" w:color="D8D2DE"/>
              <w:left w:val="single" w:sz="4" w:color="D8D2DE"/>
              <w:bottom w:val="single" w:sz="4" w:color="D8D2DE"/>
              <w:right w:val="single" w:sz="4" w:color="D8D2DE"/>
            </w:tcBorders>
          </w:tcPr>
          <w:p>
            <w:r>
              <w:rPr>
                <w:rFonts w:ascii="Aptos" w:hAnsi="Aptos"/>
                <w:sz w:val="17"/>
              </w:rPr>
              <w:t>A material unresolved blocker means the control should not be treated as audit ready.</w:t>
            </w:r>
          </w:p>
        </w:tc>
      </w:tr>
      <w:tr>
        <w:tc>
          <w:tcPr>
            <w:tcW w:type="dxa" w:w="2376"/>
            <w:vAlign w:val="top"/>
            <w:tcBorders>
              <w:top w:val="single" w:sz="4" w:color="D8D2DE"/>
              <w:left w:val="single" w:sz="4" w:color="D8D2DE"/>
              <w:bottom w:val="single" w:sz="4" w:color="D8D2DE"/>
              <w:right w:val="single" w:sz="4" w:color="D8D2DE"/>
            </w:tcBorders>
          </w:tcPr>
          <w:p>
            <w:r>
              <w:rPr>
                <w:rFonts w:ascii="Aptos" w:hAnsi="Aptos"/>
                <w:sz w:val="17"/>
              </w:rPr>
              <w:t>Review Required</w:t>
            </w:r>
          </w:p>
        </w:tc>
        <w:tc>
          <w:tcPr>
            <w:tcW w:type="dxa" w:w="8424"/>
            <w:vAlign w:val="top"/>
            <w:tcBorders>
              <w:top w:val="single" w:sz="4" w:color="D8D2DE"/>
              <w:left w:val="single" w:sz="4" w:color="D8D2DE"/>
              <w:bottom w:val="single" w:sz="4" w:color="D8D2DE"/>
              <w:right w:val="single" w:sz="4" w:color="D8D2DE"/>
            </w:tcBorders>
          </w:tcPr>
          <w:p>
            <w:r>
              <w:rPr>
                <w:rFonts w:ascii="Aptos" w:hAnsi="Aptos"/>
                <w:sz w:val="17"/>
              </w:rPr>
              <w:t>The available information is insufficient or needs management/assessor review before a final readiness conclusion.</w:t>
            </w:r>
          </w:p>
        </w:tc>
      </w:tr>
    </w:tbl>
    <w:p>
      <w:pPr>
        <w:spacing w:after="20"/>
      </w:pPr>
    </w:p>
    <w:p>
      <w:r>
        <w:br w:type="page"/>
      </w:r>
    </w:p>
    <w:p>
      <w:pPr>
        <w:pStyle w:val="Heading1"/>
      </w:pPr>
      <w:r>
        <w:rPr>
          <w:rFonts w:ascii="Aptos" w:hAnsi="Aptos"/>
          <w:b/>
          <w:color w:val="4B0983"/>
          <w:sz w:val="38"/>
        </w:rPr>
        <w:t>19. Engagement-Level Audit Readiness</w:t>
      </w:r>
    </w:p>
    <w:p>
      <w:pPr>
        <w:spacing w:after="100"/>
      </w:pPr>
      <w:r>
        <w:rPr>
          <w:rFonts w:ascii="Aptos" w:hAnsi="Aptos"/>
        </w:rPr>
        <w:t>Goal: roll selected-control readiness up to the criterion level and then to a final engagement-level management/assessor conclusion. Candidate mappings that management has not selected remain advisory and do not enter the audit-readiness conclusion.</w:t>
      </w:r>
    </w:p>
    <w:p>
      <w:pPr>
        <w:pStyle w:val="Heading2"/>
      </w:pPr>
      <w:r>
        <w:rPr>
          <w:rFonts w:ascii="Aptos" w:hAnsi="Aptos"/>
          <w:b/>
          <w:color w:val="24152E"/>
          <w:sz w:val="28"/>
        </w:rPr>
        <w:t>19.1 Engagement readiness gates</w:t>
      </w:r>
    </w:p>
    <w:p>
      <w:pPr>
        <w:pStyle w:val="ListBullet"/>
        <w:spacing w:after="40"/>
      </w:pPr>
      <w:r>
        <w:rPr>
          <w:rFonts w:ascii="Aptos" w:hAnsi="Aptos"/>
        </w:rPr>
        <w:t>Applicable criteria must have a coverage plan before a Ready/Conditionally Ready engagement conclusion can be recorded.</w:t>
      </w:r>
    </w:p>
    <w:p>
      <w:pPr>
        <w:pStyle w:val="ListBullet"/>
        <w:spacing w:after="40"/>
      </w:pPr>
      <w:r>
        <w:rPr>
          <w:rFonts w:ascii="Aptos" w:hAnsi="Aptos"/>
        </w:rPr>
        <w:t>Current criterion decisions are expected for all applicable criteria before the final engagement conclusion is treated as complete.</w:t>
      </w:r>
    </w:p>
    <w:p>
      <w:pPr>
        <w:pStyle w:val="ListBullet"/>
        <w:spacing w:after="40"/>
      </w:pPr>
      <w:r>
        <w:rPr>
          <w:rFonts w:ascii="Aptos" w:hAnsi="Aptos"/>
        </w:rPr>
        <w:t>A criterion cannot be marked Ready/Conditionally Ready when a selected control has a current Not Ready decision.</w:t>
      </w:r>
    </w:p>
    <w:p>
      <w:pPr>
        <w:pStyle w:val="ListBullet"/>
        <w:spacing w:after="40"/>
      </w:pPr>
      <w:r>
        <w:rPr>
          <w:rFonts w:ascii="Aptos" w:hAnsi="Aptos"/>
        </w:rPr>
        <w:t>The engagement cannot be marked Ready unless every applicable criterion decision is Ready.</w:t>
      </w:r>
    </w:p>
    <w:p>
      <w:pPr>
        <w:pStyle w:val="ListBullet"/>
        <w:spacing w:after="40"/>
      </w:pPr>
      <w:r>
        <w:rPr>
          <w:rFonts w:ascii="Aptos" w:hAnsi="Aptos"/>
        </w:rPr>
        <w:t>A Conditionally Ready engagement cannot contain a current Not Ready criterion decision.</w:t>
      </w:r>
    </w:p>
    <w:p>
      <w:pPr>
        <w:pStyle w:val="Heading2"/>
      </w:pPr>
      <w:r>
        <w:rPr>
          <w:rFonts w:ascii="Aptos" w:hAnsi="Aptos"/>
          <w:b/>
          <w:color w:val="24152E"/>
          <w:sz w:val="28"/>
        </w:rPr>
        <w:t>19.2 Review category roll-up</w:t>
      </w:r>
    </w:p>
    <w:p>
      <w:pPr>
        <w:spacing w:after="100"/>
      </w:pPr>
      <w:r>
        <w:rPr>
          <w:rFonts w:ascii="Aptos" w:hAnsi="Aptos"/>
        </w:rPr>
        <w:t>The category roll-up groups criterion outcomes under the selected Trust Services Categories so management can see whether one category is driving most remaining work.</w:t>
      </w:r>
    </w:p>
    <w:p>
      <w:pPr>
        <w:pStyle w:val="Heading2"/>
      </w:pPr>
      <w:r>
        <w:rPr>
          <w:rFonts w:ascii="Aptos" w:hAnsi="Aptos"/>
          <w:b/>
          <w:color w:val="24152E"/>
          <w:sz w:val="28"/>
        </w:rPr>
        <w:t>19.3 Record criterion decisions</w:t>
      </w:r>
    </w:p>
    <w:p>
      <w:pPr>
        <w:spacing w:after="80"/>
        <w:ind w:left="259" w:hanging="259"/>
      </w:pPr>
      <w:r>
        <w:rPr>
          <w:rFonts w:ascii="Aptos" w:hAnsi="Aptos"/>
          <w:b/>
          <w:color w:val="4B0983"/>
        </w:rPr>
        <w:t xml:space="preserve">1. </w:t>
      </w:r>
      <w:r>
        <w:rPr>
          <w:rFonts w:ascii="Aptos" w:hAnsi="Aptos"/>
          <w:b/>
        </w:rPr>
        <w:t xml:space="preserve">Open a criterion. </w:t>
      </w:r>
      <w:r>
        <w:rPr>
          <w:rFonts w:ascii="Aptos" w:hAnsi="Aptos"/>
        </w:rPr>
        <w:t>Criteria without a coverage plan are collapsed by default; criteria with selected controls/current decisions can remain open.</w:t>
      </w:r>
    </w:p>
    <w:p>
      <w:pPr>
        <w:spacing w:after="80"/>
        <w:ind w:left="259" w:hanging="259"/>
      </w:pPr>
      <w:r>
        <w:rPr>
          <w:rFonts w:ascii="Aptos" w:hAnsi="Aptos"/>
          <w:b/>
          <w:color w:val="4B0983"/>
        </w:rPr>
        <w:t xml:space="preserve">2. </w:t>
      </w:r>
      <w:r>
        <w:rPr>
          <w:rFonts w:ascii="Aptos" w:hAnsi="Aptos"/>
          <w:b/>
        </w:rPr>
        <w:t xml:space="preserve">Review the PurpleWASP recommendation and the selected-control details. </w:t>
      </w:r>
      <w:r>
        <w:rPr>
          <w:rFonts w:ascii="Aptos" w:hAnsi="Aptos"/>
        </w:rPr>
        <w:t>Use the reason text to understand the current signal.</w:t>
      </w:r>
    </w:p>
    <w:p>
      <w:pPr>
        <w:spacing w:after="80"/>
        <w:ind w:left="259" w:hanging="259"/>
      </w:pPr>
      <w:r>
        <w:rPr>
          <w:rFonts w:ascii="Aptos" w:hAnsi="Aptos"/>
          <w:b/>
          <w:color w:val="4B0983"/>
        </w:rPr>
        <w:t xml:space="preserve">3. </w:t>
      </w:r>
      <w:r>
        <w:rPr>
          <w:rFonts w:ascii="Aptos" w:hAnsi="Aptos"/>
          <w:b/>
        </w:rPr>
        <w:t xml:space="preserve">Choose Record/Update criterion decision. </w:t>
      </w:r>
      <w:r>
        <w:rPr>
          <w:rFonts w:ascii="Aptos" w:hAnsi="Aptos"/>
        </w:rPr>
        <w:t>The editor opens in the SOC 2 modal workspace.</w:t>
      </w:r>
    </w:p>
    <w:p>
      <w:pPr>
        <w:spacing w:after="80"/>
        <w:ind w:left="259" w:hanging="259"/>
      </w:pPr>
      <w:r>
        <w:rPr>
          <w:rFonts w:ascii="Aptos" w:hAnsi="Aptos"/>
          <w:b/>
          <w:color w:val="4B0983"/>
        </w:rPr>
        <w:t xml:space="preserve">4. </w:t>
      </w:r>
      <w:r>
        <w:rPr>
          <w:rFonts w:ascii="Aptos" w:hAnsi="Aptos"/>
          <w:b/>
        </w:rPr>
        <w:t xml:space="preserve">Choose Ready, Conditionally Ready, Not Ready or Review Required. </w:t>
      </w:r>
      <w:r>
        <w:rPr>
          <w:rFonts w:ascii="Aptos" w:hAnsi="Aptos"/>
        </w:rPr>
        <w:t>The write path blocks unsupported Ready/Conditional conclusions where hard blockers exist.</w:t>
      </w:r>
    </w:p>
    <w:p>
      <w:pPr>
        <w:spacing w:after="80"/>
        <w:ind w:left="259" w:hanging="259"/>
      </w:pPr>
      <w:r>
        <w:rPr>
          <w:rFonts w:ascii="Aptos" w:hAnsi="Aptos"/>
          <w:b/>
          <w:color w:val="4B0983"/>
        </w:rPr>
        <w:t xml:space="preserve">5. </w:t>
      </w:r>
      <w:r>
        <w:rPr>
          <w:rFonts w:ascii="Aptos" w:hAnsi="Aptos"/>
          <w:b/>
        </w:rPr>
        <w:t xml:space="preserve">Write decision rationale. </w:t>
      </w:r>
      <w:r>
        <w:rPr>
          <w:rFonts w:ascii="Aptos" w:hAnsi="Aptos"/>
        </w:rPr>
        <w:t>Explain why management/assessor agrees with or departs from the recommendation.</w:t>
      </w:r>
    </w:p>
    <w:p>
      <w:pPr>
        <w:spacing w:after="80"/>
        <w:ind w:left="259" w:hanging="259"/>
      </w:pPr>
      <w:r>
        <w:rPr>
          <w:rFonts w:ascii="Aptos" w:hAnsi="Aptos"/>
          <w:b/>
          <w:color w:val="4B0983"/>
        </w:rPr>
        <w:t xml:space="preserve">6. </w:t>
      </w:r>
      <w:r>
        <w:rPr>
          <w:rFonts w:ascii="Aptos" w:hAnsi="Aptos"/>
          <w:b/>
        </w:rPr>
        <w:t xml:space="preserve">Write Conditions / follow-up where applicable. </w:t>
      </w:r>
      <w:r>
        <w:rPr>
          <w:rFonts w:ascii="Aptos" w:hAnsi="Aptos"/>
        </w:rPr>
        <w:t>This is especially important for Conditionally Ready.</w:t>
      </w:r>
    </w:p>
    <w:p>
      <w:pPr>
        <w:pStyle w:val="Heading2"/>
      </w:pPr>
      <w:r>
        <w:rPr>
          <w:rFonts w:ascii="Aptos" w:hAnsi="Aptos"/>
          <w:b/>
          <w:color w:val="24152E"/>
          <w:sz w:val="28"/>
        </w:rPr>
        <w:t>19.4 Record the engagement decision</w:t>
      </w:r>
    </w:p>
    <w:p>
      <w:pPr>
        <w:spacing w:after="100"/>
      </w:pPr>
      <w:r>
        <w:rPr>
          <w:rFonts w:ascii="Aptos" w:hAnsi="Aptos"/>
        </w:rPr>
        <w:t>After criterion decisions are complete, use the final Management / assessor audit-readiness decision. This decision does not modify the underlying controls, criteria, evidence, tests, issues or exceptions. It is a snapshot conclusion. Later decisions supersede the current row while preserving history.</w:t>
      </w:r>
    </w:p>
    <w:tbl>
      <w:tblPr>
        <w:tblW w:type="auto" w:w="0"/>
        <w:jc w:val="center"/>
        <w:tblLayout w:type="autofit"/>
        <w:tblLook w:firstColumn="1" w:firstRow="1" w:lastColumn="0" w:lastRow="0" w:noHBand="0" w:noVBand="1" w:val="04A0"/>
      </w:tblPr>
      <w:tblGrid>
        <w:gridCol w:w="9994"/>
      </w:tblGrid>
      <w:tr>
        <w:tc>
          <w:tcPr>
            <w:tcW w:type="dxa" w:w="9994"/>
            <w:shd w:fill="FFF7E6"/>
            <w:tcBorders>
              <w:top w:val="nil"/>
              <w:left w:val="single" w:sz="18" w:color="A46400"/>
              <w:bottom w:val="nil"/>
              <w:right w:val="nil"/>
            </w:tcBorders>
          </w:tcPr>
          <w:p>
            <w:pPr>
              <w:spacing w:after="60"/>
            </w:pPr>
            <w:r>
              <w:rPr>
                <w:rFonts w:ascii="Aptos" w:hAnsi="Aptos"/>
                <w:b/>
                <w:color w:val="A46400"/>
                <w:sz w:val="21"/>
              </w:rPr>
              <w:t>Readiness is not the auditor opinion.</w:t>
            </w:r>
          </w:p>
          <w:p>
            <w:pPr>
              <w:spacing w:after="0"/>
            </w:pPr>
            <w:r>
              <w:rPr>
                <w:rFonts w:ascii="Aptos" w:hAnsi="Aptos"/>
                <w:sz w:val="19"/>
              </w:rPr>
              <w:t>A PurpleWASP engagement decision of Ready means management/assessor believes the current evidence and control state are ready to enter the examination. The service auditor can still identify exceptions, request more evidence, alter sampling or reach a different examination conclusion.</w:t>
            </w:r>
          </w:p>
        </w:tc>
      </w:tr>
    </w:tbl>
    <w:p>
      <w:pPr>
        <w:spacing w:after="20"/>
      </w:pPr>
    </w:p>
    <w:p>
      <w:r>
        <w:br w:type="page"/>
      </w:r>
    </w:p>
    <w:p>
      <w:pPr>
        <w:pStyle w:val="Heading1"/>
      </w:pPr>
      <w:r>
        <w:rPr>
          <w:rFonts w:ascii="Aptos" w:hAnsi="Aptos"/>
          <w:b/>
          <w:color w:val="4B0983"/>
          <w:sz w:val="38"/>
        </w:rPr>
        <w:t>20. Type I operating playbook</w:t>
      </w:r>
    </w:p>
    <w:p>
      <w:pPr>
        <w:spacing w:after="100"/>
      </w:pPr>
      <w:r>
        <w:rPr>
          <w:rFonts w:ascii="Aptos" w:hAnsi="Aptos"/>
        </w:rPr>
        <w:t>Use this playbook when the intended examination is Type I: design of controls at a specified date.</w:t>
      </w:r>
    </w:p>
    <w:p>
      <w:pPr>
        <w:spacing w:after="80"/>
        <w:ind w:left="259" w:hanging="259"/>
      </w:pPr>
      <w:r>
        <w:rPr>
          <w:rFonts w:ascii="Aptos" w:hAnsi="Aptos"/>
          <w:b/>
          <w:color w:val="4B0983"/>
        </w:rPr>
        <w:t xml:space="preserve">1. </w:t>
      </w:r>
      <w:r>
        <w:rPr>
          <w:rFonts w:ascii="Aptos" w:hAnsi="Aptos"/>
          <w:b/>
        </w:rPr>
        <w:t xml:space="preserve">Confirm the service/system scope and as-of date. </w:t>
      </w:r>
      <w:r>
        <w:rPr>
          <w:rFonts w:ascii="Aptos" w:hAnsi="Aptos"/>
        </w:rPr>
        <w:t>Make sure the system description and boundary are accurate for that date.</w:t>
      </w:r>
    </w:p>
    <w:p>
      <w:pPr>
        <w:spacing w:after="80"/>
        <w:ind w:left="259" w:hanging="259"/>
      </w:pPr>
      <w:r>
        <w:rPr>
          <w:rFonts w:ascii="Aptos" w:hAnsi="Aptos"/>
          <w:b/>
          <w:color w:val="4B0983"/>
        </w:rPr>
        <w:t xml:space="preserve">2. </w:t>
      </w:r>
      <w:r>
        <w:rPr>
          <w:rFonts w:ascii="Aptos" w:hAnsi="Aptos"/>
          <w:b/>
        </w:rPr>
        <w:t xml:space="preserve">Complete criterion coverage. </w:t>
      </w:r>
      <w:r>
        <w:rPr>
          <w:rFonts w:ascii="Aptos" w:hAnsi="Aptos"/>
        </w:rPr>
        <w:t>Every applicable criterion should have a defensible selected-control plan.</w:t>
      </w:r>
    </w:p>
    <w:p>
      <w:pPr>
        <w:spacing w:after="80"/>
        <w:ind w:left="259" w:hanging="259"/>
      </w:pPr>
      <w:r>
        <w:rPr>
          <w:rFonts w:ascii="Aptos" w:hAnsi="Aptos"/>
          <w:b/>
          <w:color w:val="4B0983"/>
        </w:rPr>
        <w:t xml:space="preserve">3. </w:t>
      </w:r>
      <w:r>
        <w:rPr>
          <w:rFonts w:ascii="Aptos" w:hAnsi="Aptos"/>
          <w:b/>
        </w:rPr>
        <w:t xml:space="preserve">Document implementation. </w:t>
      </w:r>
      <w:r>
        <w:rPr>
          <w:rFonts w:ascii="Aptos" w:hAnsi="Aptos"/>
        </w:rPr>
        <w:t>Focus on how the control is designed and in place as of the specified date.</w:t>
      </w:r>
    </w:p>
    <w:p>
      <w:pPr>
        <w:spacing w:after="80"/>
        <w:ind w:left="259" w:hanging="259"/>
      </w:pPr>
      <w:r>
        <w:rPr>
          <w:rFonts w:ascii="Aptos" w:hAnsi="Aptos"/>
          <w:b/>
          <w:color w:val="4B0983"/>
        </w:rPr>
        <w:t xml:space="preserve">4. </w:t>
      </w:r>
      <w:r>
        <w:rPr>
          <w:rFonts w:ascii="Aptos" w:hAnsi="Aptos"/>
          <w:b/>
        </w:rPr>
        <w:t xml:space="preserve">Perform design assessments. </w:t>
      </w:r>
      <w:r>
        <w:rPr>
          <w:rFonts w:ascii="Aptos" w:hAnsi="Aptos"/>
        </w:rPr>
        <w:t>Operating assessment/testing may still be useful internally, but Type I readiness fundamentally depends on design at the as-of date.</w:t>
      </w:r>
    </w:p>
    <w:p>
      <w:pPr>
        <w:spacing w:after="80"/>
        <w:ind w:left="259" w:hanging="259"/>
      </w:pPr>
      <w:r>
        <w:rPr>
          <w:rFonts w:ascii="Aptos" w:hAnsi="Aptos"/>
          <w:b/>
          <w:color w:val="4B0983"/>
        </w:rPr>
        <w:t xml:space="preserve">5. </w:t>
      </w:r>
      <w:r>
        <w:rPr>
          <w:rFonts w:ascii="Aptos" w:hAnsi="Aptos"/>
          <w:b/>
        </w:rPr>
        <w:t xml:space="preserve">Collect evidence of design and implementation. </w:t>
      </w:r>
      <w:r>
        <w:rPr>
          <w:rFonts w:ascii="Aptos" w:hAnsi="Aptos"/>
        </w:rPr>
        <w:t>Policies, configurations, approved procedures, architecture records, role assignments and point-in-time control artefacts should be traceable to the as-of date.</w:t>
      </w:r>
    </w:p>
    <w:p>
      <w:pPr>
        <w:spacing w:after="80"/>
        <w:ind w:left="259" w:hanging="259"/>
      </w:pPr>
      <w:r>
        <w:rPr>
          <w:rFonts w:ascii="Aptos" w:hAnsi="Aptos"/>
          <w:b/>
          <w:color w:val="4B0983"/>
        </w:rPr>
        <w:t xml:space="preserve">6. </w:t>
      </w:r>
      <w:r>
        <w:rPr>
          <w:rFonts w:ascii="Aptos" w:hAnsi="Aptos"/>
          <w:b/>
        </w:rPr>
        <w:t xml:space="preserve">Resolve material issues. </w:t>
      </w:r>
      <w:r>
        <w:rPr>
          <w:rFonts w:ascii="Aptos" w:hAnsi="Aptos"/>
        </w:rPr>
        <w:t>Do not assume a newly designed control is ready if implementation evidence shows it was not actually in place.</w:t>
      </w:r>
    </w:p>
    <w:p>
      <w:pPr>
        <w:spacing w:after="80"/>
        <w:ind w:left="259" w:hanging="259"/>
      </w:pPr>
      <w:r>
        <w:rPr>
          <w:rFonts w:ascii="Aptos" w:hAnsi="Aptos"/>
          <w:b/>
          <w:color w:val="4B0983"/>
        </w:rPr>
        <w:t xml:space="preserve">7. </w:t>
      </w:r>
      <w:r>
        <w:rPr>
          <w:rFonts w:ascii="Aptos" w:hAnsi="Aptos"/>
          <w:b/>
        </w:rPr>
        <w:t xml:space="preserve">Record control and criterion readiness decisions. </w:t>
      </w:r>
      <w:r>
        <w:rPr>
          <w:rFonts w:ascii="Aptos" w:hAnsi="Aptos"/>
        </w:rPr>
        <w:t>Use rationale that refers to the as-of state.</w:t>
      </w:r>
    </w:p>
    <w:p>
      <w:pPr>
        <w:spacing w:after="80"/>
        <w:ind w:left="259" w:hanging="259"/>
      </w:pPr>
      <w:r>
        <w:rPr>
          <w:rFonts w:ascii="Aptos" w:hAnsi="Aptos"/>
          <w:b/>
          <w:color w:val="4B0983"/>
        </w:rPr>
        <w:t xml:space="preserve">8. </w:t>
      </w:r>
      <w:r>
        <w:rPr>
          <w:rFonts w:ascii="Aptos" w:hAnsi="Aptos"/>
          <w:b/>
        </w:rPr>
        <w:t xml:space="preserve">Prepare the service auditor handoff. </w:t>
      </w:r>
      <w:r>
        <w:rPr>
          <w:rFonts w:ascii="Aptos" w:hAnsi="Aptos"/>
        </w:rPr>
        <w:t>Provide the confirmed boundary, system description inputs, control population, design evidence and any known exceptions.</w:t>
      </w:r>
    </w:p>
    <w:p>
      <w:r>
        <w:br w:type="page"/>
      </w:r>
    </w:p>
    <w:p>
      <w:pPr>
        <w:pStyle w:val="Heading1"/>
      </w:pPr>
      <w:r>
        <w:rPr>
          <w:rFonts w:ascii="Aptos" w:hAnsi="Aptos"/>
          <w:b/>
          <w:color w:val="4B0983"/>
          <w:sz w:val="38"/>
        </w:rPr>
        <w:t>21. Type II operating playbook</w:t>
      </w:r>
    </w:p>
    <w:p>
      <w:pPr>
        <w:spacing w:after="100"/>
      </w:pPr>
      <w:r>
        <w:rPr>
          <w:rFonts w:ascii="Aptos" w:hAnsi="Aptos"/>
        </w:rPr>
        <w:t>Use this playbook when the intended examination is Type II: design and operating effectiveness across an observation period. The biggest practical difference is that evidence and test timing become first-class concerns.</w:t>
      </w:r>
    </w:p>
    <w:p>
      <w:pPr>
        <w:spacing w:after="80"/>
        <w:ind w:left="259" w:hanging="259"/>
      </w:pPr>
      <w:r>
        <w:rPr>
          <w:rFonts w:ascii="Aptos" w:hAnsi="Aptos"/>
          <w:b/>
          <w:color w:val="4B0983"/>
        </w:rPr>
        <w:t xml:space="preserve">1. </w:t>
      </w:r>
      <w:r>
        <w:rPr>
          <w:rFonts w:ascii="Aptos" w:hAnsi="Aptos"/>
          <w:b/>
        </w:rPr>
        <w:t xml:space="preserve">Choose a realistic observation period. </w:t>
      </w:r>
      <w:r>
        <w:rPr>
          <w:rFonts w:ascii="Aptos" w:hAnsi="Aptos"/>
        </w:rPr>
        <w:t>Do not set a period that predates reliable control operation/evidence unless management and the service auditor have a clear plan for the resulting limitations.</w:t>
      </w:r>
    </w:p>
    <w:p>
      <w:pPr>
        <w:spacing w:after="80"/>
        <w:ind w:left="259" w:hanging="259"/>
      </w:pPr>
      <w:r>
        <w:rPr>
          <w:rFonts w:ascii="Aptos" w:hAnsi="Aptos"/>
          <w:b/>
          <w:color w:val="4B0983"/>
        </w:rPr>
        <w:t xml:space="preserve">2. </w:t>
      </w:r>
      <w:r>
        <w:rPr>
          <w:rFonts w:ascii="Aptos" w:hAnsi="Aptos"/>
          <w:b/>
        </w:rPr>
        <w:t xml:space="preserve">Freeze the intended scope before the period where practical. </w:t>
      </w:r>
      <w:r>
        <w:rPr>
          <w:rFonts w:ascii="Aptos" w:hAnsi="Aptos"/>
        </w:rPr>
        <w:t>Frequent scope changes during the period create explanation and evidence challenges.</w:t>
      </w:r>
    </w:p>
    <w:p>
      <w:pPr>
        <w:spacing w:after="80"/>
        <w:ind w:left="259" w:hanging="259"/>
      </w:pPr>
      <w:r>
        <w:rPr>
          <w:rFonts w:ascii="Aptos" w:hAnsi="Aptos"/>
          <w:b/>
          <w:color w:val="4B0983"/>
        </w:rPr>
        <w:t xml:space="preserve">3. </w:t>
      </w:r>
      <w:r>
        <w:rPr>
          <w:rFonts w:ascii="Aptos" w:hAnsi="Aptos"/>
          <w:b/>
        </w:rPr>
        <w:t xml:space="preserve">Operate controls on their defined cadence. </w:t>
      </w:r>
      <w:r>
        <w:rPr>
          <w:rFonts w:ascii="Aptos" w:hAnsi="Aptos"/>
        </w:rPr>
        <w:t>A quarterly review should actually happen each quarter; an annual policy control should follow its defined review cycle.</w:t>
      </w:r>
    </w:p>
    <w:p>
      <w:pPr>
        <w:spacing w:after="80"/>
        <w:ind w:left="259" w:hanging="259"/>
      </w:pPr>
      <w:r>
        <w:rPr>
          <w:rFonts w:ascii="Aptos" w:hAnsi="Aptos"/>
          <w:b/>
          <w:color w:val="4B0983"/>
        </w:rPr>
        <w:t xml:space="preserve">4. </w:t>
      </w:r>
      <w:r>
        <w:rPr>
          <w:rFonts w:ascii="Aptos" w:hAnsi="Aptos"/>
          <w:b/>
        </w:rPr>
        <w:t xml:space="preserve">Collect evidence continuously. </w:t>
      </w:r>
      <w:r>
        <w:rPr>
          <w:rFonts w:ascii="Aptos" w:hAnsi="Aptos"/>
        </w:rPr>
        <w:t>Do not wait until period end to reconstruct months of evidence.</w:t>
      </w:r>
    </w:p>
    <w:p>
      <w:pPr>
        <w:spacing w:after="80"/>
        <w:ind w:left="259" w:hanging="259"/>
      </w:pPr>
      <w:r>
        <w:rPr>
          <w:rFonts w:ascii="Aptos" w:hAnsi="Aptos"/>
          <w:b/>
          <w:color w:val="4B0983"/>
        </w:rPr>
        <w:t xml:space="preserve">5. </w:t>
      </w:r>
      <w:r>
        <w:rPr>
          <w:rFonts w:ascii="Aptos" w:hAnsi="Aptos"/>
          <w:b/>
        </w:rPr>
        <w:t xml:space="preserve">Use source timestamps and validity intervals. </w:t>
      </w:r>
      <w:r>
        <w:rPr>
          <w:rFonts w:ascii="Aptos" w:hAnsi="Aptos"/>
        </w:rPr>
        <w:t>PurpleWASP distinguishes the underlying evidence time from the date it was added to the platform.</w:t>
      </w:r>
    </w:p>
    <w:p>
      <w:pPr>
        <w:spacing w:after="80"/>
        <w:ind w:left="259" w:hanging="259"/>
      </w:pPr>
      <w:r>
        <w:rPr>
          <w:rFonts w:ascii="Aptos" w:hAnsi="Aptos"/>
          <w:b/>
          <w:color w:val="4B0983"/>
        </w:rPr>
        <w:t xml:space="preserve">6. </w:t>
      </w:r>
      <w:r>
        <w:rPr>
          <w:rFonts w:ascii="Aptos" w:hAnsi="Aptos"/>
          <w:b/>
        </w:rPr>
        <w:t xml:space="preserve">Run control tests during the period. </w:t>
      </w:r>
      <w:r>
        <w:rPr>
          <w:rFonts w:ascii="Aptos" w:hAnsi="Aptos"/>
        </w:rPr>
        <w:t>Record the real execution/completion timestamp and preserve run history.</w:t>
      </w:r>
    </w:p>
    <w:p>
      <w:pPr>
        <w:spacing w:after="80"/>
        <w:ind w:left="259" w:hanging="259"/>
      </w:pPr>
      <w:r>
        <w:rPr>
          <w:rFonts w:ascii="Aptos" w:hAnsi="Aptos"/>
          <w:b/>
          <w:color w:val="4B0983"/>
        </w:rPr>
        <w:t xml:space="preserve">7. </w:t>
      </w:r>
      <w:r>
        <w:rPr>
          <w:rFonts w:ascii="Aptos" w:hAnsi="Aptos"/>
          <w:b/>
        </w:rPr>
        <w:t xml:space="preserve">Open issues when failures occur. </w:t>
      </w:r>
      <w:r>
        <w:rPr>
          <w:rFonts w:ascii="Aptos" w:hAnsi="Aptos"/>
        </w:rPr>
        <w:t>Do not hide failed tests. Track remediation, retesting and any approved exception.</w:t>
      </w:r>
    </w:p>
    <w:p>
      <w:pPr>
        <w:spacing w:after="80"/>
        <w:ind w:left="259" w:hanging="259"/>
      </w:pPr>
      <w:r>
        <w:rPr>
          <w:rFonts w:ascii="Aptos" w:hAnsi="Aptos"/>
          <w:b/>
          <w:color w:val="4B0983"/>
        </w:rPr>
        <w:t xml:space="preserve">8. </w:t>
      </w:r>
      <w:r>
        <w:rPr>
          <w:rFonts w:ascii="Aptos" w:hAnsi="Aptos"/>
          <w:b/>
        </w:rPr>
        <w:t xml:space="preserve">Monitor Operational Readiness throughout the period. </w:t>
      </w:r>
      <w:r>
        <w:rPr>
          <w:rFonts w:ascii="Aptos" w:hAnsi="Aptos"/>
        </w:rPr>
        <w:t>Period-relevant evidence and in-period tests should grow as expected.</w:t>
      </w:r>
    </w:p>
    <w:p>
      <w:pPr>
        <w:spacing w:after="80"/>
        <w:ind w:left="259" w:hanging="259"/>
      </w:pPr>
      <w:r>
        <w:rPr>
          <w:rFonts w:ascii="Aptos" w:hAnsi="Aptos"/>
          <w:b/>
          <w:color w:val="4B0983"/>
        </w:rPr>
        <w:t xml:space="preserve">9. </w:t>
      </w:r>
      <w:r>
        <w:rPr>
          <w:rFonts w:ascii="Aptos" w:hAnsi="Aptos"/>
          <w:b/>
        </w:rPr>
        <w:t xml:space="preserve">Before fieldwork, complete criterion and engagement decisions. </w:t>
      </w:r>
      <w:r>
        <w:rPr>
          <w:rFonts w:ascii="Aptos" w:hAnsi="Aptos"/>
        </w:rPr>
        <w:t>Any Conditional/Not Ready outcome should have a clear remediation or disclosure plan.</w:t>
      </w:r>
    </w:p>
    <w:p>
      <w:pPr>
        <w:spacing w:after="80"/>
        <w:ind w:left="259" w:hanging="259"/>
      </w:pPr>
      <w:r>
        <w:rPr>
          <w:rFonts w:ascii="Aptos" w:hAnsi="Aptos"/>
          <w:b/>
          <w:color w:val="4B0983"/>
        </w:rPr>
        <w:t xml:space="preserve">10. </w:t>
      </w:r>
      <w:r>
        <w:rPr>
          <w:rFonts w:ascii="Aptos" w:hAnsi="Aptos"/>
          <w:b/>
        </w:rPr>
        <w:t xml:space="preserve">Expect the service auditor to sample independently. </w:t>
      </w:r>
      <w:r>
        <w:rPr>
          <w:rFonts w:ascii="Aptos" w:hAnsi="Aptos"/>
        </w:rPr>
        <w:t>PurpleWASP readiness does not restrict auditor procedures.</w:t>
      </w:r>
    </w:p>
    <w:tbl>
      <w:tblPr>
        <w:tblW w:type="auto" w:w="0"/>
        <w:jc w:val="center"/>
        <w:tblLayout w:type="autofit"/>
        <w:tblLook w:firstColumn="1" w:firstRow="1" w:lastColumn="0" w:lastRow="0" w:noHBand="0" w:noVBand="1" w:val="04A0"/>
      </w:tblPr>
      <w:tblGrid>
        <w:gridCol w:w="9994"/>
      </w:tblGrid>
      <w:tr>
        <w:tc>
          <w:tcPr>
            <w:tcW w:type="dxa" w:w="9994"/>
            <w:shd w:fill="EEF8F2"/>
            <w:tcBorders>
              <w:top w:val="nil"/>
              <w:left w:val="single" w:sz="18" w:color="167C46"/>
              <w:bottom w:val="nil"/>
              <w:right w:val="nil"/>
            </w:tcBorders>
          </w:tcPr>
          <w:p>
            <w:pPr>
              <w:spacing w:after="60"/>
            </w:pPr>
            <w:r>
              <w:rPr>
                <w:rFonts w:ascii="Aptos" w:hAnsi="Aptos"/>
                <w:b/>
                <w:color w:val="167C46"/>
                <w:sz w:val="21"/>
              </w:rPr>
              <w:t>Evidence cadence recommendation</w:t>
            </w:r>
          </w:p>
          <w:p>
            <w:pPr>
              <w:spacing w:after="0"/>
            </w:pPr>
            <w:r>
              <w:rPr>
                <w:rFonts w:ascii="Aptos" w:hAnsi="Aptos"/>
                <w:sz w:val="19"/>
              </w:rPr>
              <w:t>For recurring controls, collect evidence close to the control cadence rather than batching everything at the end. This reduces missing periods and makes test failures/remediation visible while there is still time to act.</w:t>
            </w:r>
          </w:p>
        </w:tc>
      </w:tr>
    </w:tbl>
    <w:p>
      <w:pPr>
        <w:spacing w:after="20"/>
      </w:pPr>
    </w:p>
    <w:p>
      <w:r>
        <w:br w:type="page"/>
      </w:r>
    </w:p>
    <w:p>
      <w:pPr>
        <w:pStyle w:val="Heading1"/>
      </w:pPr>
      <w:r>
        <w:rPr>
          <w:rFonts w:ascii="Aptos" w:hAnsi="Aptos"/>
          <w:b/>
          <w:color w:val="4B0983"/>
          <w:sz w:val="38"/>
        </w:rPr>
        <w:t>22. Preparing for the service auditor</w:t>
      </w:r>
    </w:p>
    <w:p>
      <w:pPr>
        <w:pStyle w:val="Heading2"/>
      </w:pPr>
      <w:r>
        <w:rPr>
          <w:rFonts w:ascii="Aptos" w:hAnsi="Aptos"/>
          <w:b/>
          <w:color w:val="24152E"/>
          <w:sz w:val="28"/>
        </w:rPr>
        <w:t>22.1 What PurpleWASP should be able to show</w:t>
      </w:r>
    </w:p>
    <w:p>
      <w:pPr>
        <w:pStyle w:val="ListBullet"/>
        <w:spacing w:after="40"/>
      </w:pPr>
      <w:r>
        <w:rPr>
          <w:rFonts w:ascii="Aptos" w:hAnsi="Aptos"/>
        </w:rPr>
        <w:t>The confirmed engagement snapshot: selected categories, system boundary, service description, intended users, report type/period, subservice treatment, CUECs and key judgements.</w:t>
      </w:r>
    </w:p>
    <w:p>
      <w:pPr>
        <w:pStyle w:val="ListBullet"/>
        <w:spacing w:after="40"/>
      </w:pPr>
      <w:r>
        <w:rPr>
          <w:rFonts w:ascii="Aptos" w:hAnsi="Aptos"/>
        </w:rPr>
        <w:t>The criterion population for the engagement and the management-selected control coverage for each applicable criterion.</w:t>
      </w:r>
    </w:p>
    <w:p>
      <w:pPr>
        <w:pStyle w:val="ListBullet"/>
        <w:spacing w:after="40"/>
      </w:pPr>
      <w:r>
        <w:rPr>
          <w:rFonts w:ascii="Aptos" w:hAnsi="Aptos"/>
        </w:rPr>
        <w:t>For every selected control: implementation status, owner, implementation statement and relevant asset-level implementation.</w:t>
      </w:r>
    </w:p>
    <w:p>
      <w:pPr>
        <w:pStyle w:val="ListBullet"/>
        <w:spacing w:after="40"/>
      </w:pPr>
      <w:r>
        <w:rPr>
          <w:rFonts w:ascii="Aptos" w:hAnsi="Aptos"/>
        </w:rPr>
        <w:t>Final assessment records with method, result, date, validity, coverage/confidence and notes.</w:t>
      </w:r>
    </w:p>
    <w:p>
      <w:pPr>
        <w:pStyle w:val="ListBullet"/>
        <w:spacing w:after="40"/>
      </w:pPr>
      <w:r>
        <w:rPr>
          <w:rFonts w:ascii="Aptos" w:hAnsi="Aptos"/>
        </w:rPr>
        <w:t>Linked evidence with source timestamps/validity and clear link purpose.</w:t>
      </w:r>
    </w:p>
    <w:p>
      <w:pPr>
        <w:pStyle w:val="ListBullet"/>
        <w:spacing w:after="40"/>
      </w:pPr>
      <w:r>
        <w:rPr>
          <w:rFonts w:ascii="Aptos" w:hAnsi="Aptos"/>
        </w:rPr>
        <w:t>Test definitions and run history with actual execution timestamps and results.</w:t>
      </w:r>
    </w:p>
    <w:p>
      <w:pPr>
        <w:pStyle w:val="ListBullet"/>
        <w:spacing w:after="40"/>
      </w:pPr>
      <w:r>
        <w:rPr>
          <w:rFonts w:ascii="Aptos" w:hAnsi="Aptos"/>
        </w:rPr>
        <w:t>Open/closed issues, approved/rejected exceptions, related risks and compensating controls.</w:t>
      </w:r>
    </w:p>
    <w:p>
      <w:pPr>
        <w:pStyle w:val="ListBullet"/>
        <w:spacing w:after="40"/>
      </w:pPr>
      <w:r>
        <w:rPr>
          <w:rFonts w:ascii="Aptos" w:hAnsi="Aptos"/>
        </w:rPr>
        <w:t>Control readiness decisions, criterion readiness decisions and the current engagement decision, including superseded history where relevant.</w:t>
      </w:r>
    </w:p>
    <w:p>
      <w:pPr>
        <w:pStyle w:val="Heading2"/>
      </w:pPr>
      <w:r>
        <w:rPr>
          <w:rFonts w:ascii="Aptos" w:hAnsi="Aptos"/>
          <w:b/>
          <w:color w:val="24152E"/>
          <w:sz w:val="28"/>
        </w:rPr>
        <w:t>22.2 Build an auditor request index</w:t>
      </w:r>
    </w:p>
    <w:p>
      <w:pPr>
        <w:spacing w:after="100"/>
      </w:pPr>
      <w:r>
        <w:rPr>
          <w:rFonts w:ascii="Aptos" w:hAnsi="Aptos"/>
        </w:rPr>
        <w:t>Even if the final exchange occurs outside PurpleWASP, use PurpleWASP as the master index. For each auditor request, point back to the selected control, evidence record, test run, issue/exception and system-boundary object rather than uploading untracked duplicates into multiple places.</w:t>
      </w:r>
    </w:p>
    <w:tbl>
      <w:tblPr>
        <w:tblStyle w:val="TableGrid"/>
        <w:tblW w:type="auto" w:w="0"/>
        <w:jc w:val="center"/>
        <w:tblLook w:firstColumn="1" w:firstRow="1" w:lastColumn="0" w:lastRow="0" w:noHBand="0" w:noVBand="1" w:val="04A0"/>
      </w:tblPr>
      <w:tblGrid>
        <w:gridCol w:w="4997"/>
        <w:gridCol w:w="4997"/>
      </w:tblGrid>
      <w:tr>
        <w:tc>
          <w:tcPr>
            <w:tcW w:type="dxa" w:w="2232"/>
            <w:shd w:fill="4B0983"/>
            <w:vAlign w:val="center"/>
          </w:tcPr>
          <w:p>
            <w:pPr>
              <w:jc w:val="left"/>
            </w:pPr>
            <w:r>
              <w:rPr>
                <w:rFonts w:ascii="Aptos" w:hAnsi="Aptos"/>
                <w:b/>
                <w:color w:val="FFFFFF"/>
                <w:sz w:val="17"/>
              </w:rPr>
              <w:t>Auditor request column</w:t>
            </w:r>
          </w:p>
        </w:tc>
        <w:tc>
          <w:tcPr>
            <w:tcW w:type="dxa" w:w="8568"/>
            <w:shd w:fill="4B0983"/>
            <w:vAlign w:val="center"/>
          </w:tcPr>
          <w:p>
            <w:pPr>
              <w:jc w:val="left"/>
            </w:pPr>
            <w:r>
              <w:rPr>
                <w:rFonts w:ascii="Aptos" w:hAnsi="Aptos"/>
                <w:b/>
                <w:color w:val="FFFFFF"/>
                <w:sz w:val="17"/>
              </w:rPr>
              <w:t>Recommended value</w:t>
            </w:r>
          </w:p>
        </w:tc>
      </w:tr>
      <w:tr>
        <w:tc>
          <w:tcPr>
            <w:tcW w:type="dxa" w:w="2232"/>
            <w:vAlign w:val="top"/>
            <w:tcBorders>
              <w:top w:val="single" w:sz="4" w:color="D8D2DE"/>
              <w:left w:val="single" w:sz="4" w:color="D8D2DE"/>
              <w:bottom w:val="single" w:sz="4" w:color="D8D2DE"/>
              <w:right w:val="single" w:sz="4" w:color="D8D2DE"/>
            </w:tcBorders>
          </w:tcPr>
          <w:p>
            <w:r>
              <w:rPr>
                <w:rFonts w:ascii="Aptos" w:hAnsi="Aptos"/>
                <w:sz w:val="17"/>
              </w:rPr>
              <w:t>Request ID</w:t>
            </w:r>
          </w:p>
        </w:tc>
        <w:tc>
          <w:tcPr>
            <w:tcW w:type="dxa" w:w="8568"/>
            <w:vAlign w:val="top"/>
            <w:tcBorders>
              <w:top w:val="single" w:sz="4" w:color="D8D2DE"/>
              <w:left w:val="single" w:sz="4" w:color="D8D2DE"/>
              <w:bottom w:val="single" w:sz="4" w:color="D8D2DE"/>
              <w:right w:val="single" w:sz="4" w:color="D8D2DE"/>
            </w:tcBorders>
          </w:tcPr>
          <w:p>
            <w:r>
              <w:rPr>
                <w:rFonts w:ascii="Aptos" w:hAnsi="Aptos"/>
                <w:sz w:val="17"/>
              </w:rPr>
              <w:t>Auditor PBC/request-list identifier.</w:t>
            </w:r>
          </w:p>
        </w:tc>
      </w:tr>
      <w:tr>
        <w:tc>
          <w:tcPr>
            <w:tcW w:type="dxa" w:w="2232"/>
            <w:vAlign w:val="top"/>
            <w:tcBorders>
              <w:top w:val="single" w:sz="4" w:color="D8D2DE"/>
              <w:left w:val="single" w:sz="4" w:color="D8D2DE"/>
              <w:bottom w:val="single" w:sz="4" w:color="D8D2DE"/>
              <w:right w:val="single" w:sz="4" w:color="D8D2DE"/>
            </w:tcBorders>
          </w:tcPr>
          <w:p>
            <w:r>
              <w:rPr>
                <w:rFonts w:ascii="Aptos" w:hAnsi="Aptos"/>
                <w:sz w:val="17"/>
              </w:rPr>
              <w:t>Criterion/control</w:t>
            </w:r>
          </w:p>
        </w:tc>
        <w:tc>
          <w:tcPr>
            <w:tcW w:type="dxa" w:w="8568"/>
            <w:vAlign w:val="top"/>
            <w:tcBorders>
              <w:top w:val="single" w:sz="4" w:color="D8D2DE"/>
              <w:left w:val="single" w:sz="4" w:color="D8D2DE"/>
              <w:bottom w:val="single" w:sz="4" w:color="D8D2DE"/>
              <w:right w:val="single" w:sz="4" w:color="D8D2DE"/>
            </w:tcBorders>
          </w:tcPr>
          <w:p>
            <w:r>
              <w:rPr>
                <w:rFonts w:ascii="Aptos" w:hAnsi="Aptos"/>
                <w:sz w:val="17"/>
              </w:rPr>
              <w:t>PurpleWASP criterion code and organisation control code.</w:t>
            </w:r>
          </w:p>
        </w:tc>
      </w:tr>
      <w:tr>
        <w:tc>
          <w:tcPr>
            <w:tcW w:type="dxa" w:w="2232"/>
            <w:vAlign w:val="top"/>
            <w:tcBorders>
              <w:top w:val="single" w:sz="4" w:color="D8D2DE"/>
              <w:left w:val="single" w:sz="4" w:color="D8D2DE"/>
              <w:bottom w:val="single" w:sz="4" w:color="D8D2DE"/>
              <w:right w:val="single" w:sz="4" w:color="D8D2DE"/>
            </w:tcBorders>
          </w:tcPr>
          <w:p>
            <w:r>
              <w:rPr>
                <w:rFonts w:ascii="Aptos" w:hAnsi="Aptos"/>
                <w:sz w:val="17"/>
              </w:rPr>
              <w:t>Evidence reference</w:t>
            </w:r>
          </w:p>
        </w:tc>
        <w:tc>
          <w:tcPr>
            <w:tcW w:type="dxa" w:w="8568"/>
            <w:vAlign w:val="top"/>
            <w:tcBorders>
              <w:top w:val="single" w:sz="4" w:color="D8D2DE"/>
              <w:left w:val="single" w:sz="4" w:color="D8D2DE"/>
              <w:bottom w:val="single" w:sz="4" w:color="D8D2DE"/>
              <w:right w:val="single" w:sz="4" w:color="D8D2DE"/>
            </w:tcBorders>
          </w:tcPr>
          <w:p>
            <w:r>
              <w:rPr>
                <w:rFonts w:ascii="Aptos" w:hAnsi="Aptos"/>
                <w:sz w:val="17"/>
              </w:rPr>
              <w:t>Evidence title plus storage reference/external URL.</w:t>
            </w:r>
          </w:p>
        </w:tc>
      </w:tr>
      <w:tr>
        <w:tc>
          <w:tcPr>
            <w:tcW w:type="dxa" w:w="2232"/>
            <w:vAlign w:val="top"/>
            <w:tcBorders>
              <w:top w:val="single" w:sz="4" w:color="D8D2DE"/>
              <w:left w:val="single" w:sz="4" w:color="D8D2DE"/>
              <w:bottom w:val="single" w:sz="4" w:color="D8D2DE"/>
              <w:right w:val="single" w:sz="4" w:color="D8D2DE"/>
            </w:tcBorders>
          </w:tcPr>
          <w:p>
            <w:r>
              <w:rPr>
                <w:rFonts w:ascii="Aptos" w:hAnsi="Aptos"/>
                <w:sz w:val="17"/>
              </w:rPr>
              <w:t>Period relevance</w:t>
            </w:r>
          </w:p>
        </w:tc>
        <w:tc>
          <w:tcPr>
            <w:tcW w:type="dxa" w:w="8568"/>
            <w:vAlign w:val="top"/>
            <w:tcBorders>
              <w:top w:val="single" w:sz="4" w:color="D8D2DE"/>
              <w:left w:val="single" w:sz="4" w:color="D8D2DE"/>
              <w:bottom w:val="single" w:sz="4" w:color="D8D2DE"/>
              <w:right w:val="single" w:sz="4" w:color="D8D2DE"/>
            </w:tcBorders>
          </w:tcPr>
          <w:p>
            <w:r>
              <w:rPr>
                <w:rFonts w:ascii="Aptos" w:hAnsi="Aptos"/>
                <w:sz w:val="17"/>
              </w:rPr>
              <w:t>Why the artefact supports the as-of date or Type II observation period.</w:t>
            </w:r>
          </w:p>
        </w:tc>
      </w:tr>
      <w:tr>
        <w:tc>
          <w:tcPr>
            <w:tcW w:type="dxa" w:w="2232"/>
            <w:vAlign w:val="top"/>
            <w:tcBorders>
              <w:top w:val="single" w:sz="4" w:color="D8D2DE"/>
              <w:left w:val="single" w:sz="4" w:color="D8D2DE"/>
              <w:bottom w:val="single" w:sz="4" w:color="D8D2DE"/>
              <w:right w:val="single" w:sz="4" w:color="D8D2DE"/>
            </w:tcBorders>
          </w:tcPr>
          <w:p>
            <w:r>
              <w:rPr>
                <w:rFonts w:ascii="Aptos" w:hAnsi="Aptos"/>
                <w:sz w:val="17"/>
              </w:rPr>
              <w:t>Owner</w:t>
            </w:r>
          </w:p>
        </w:tc>
        <w:tc>
          <w:tcPr>
            <w:tcW w:type="dxa" w:w="8568"/>
            <w:vAlign w:val="top"/>
            <w:tcBorders>
              <w:top w:val="single" w:sz="4" w:color="D8D2DE"/>
              <w:left w:val="single" w:sz="4" w:color="D8D2DE"/>
              <w:bottom w:val="single" w:sz="4" w:color="D8D2DE"/>
              <w:right w:val="single" w:sz="4" w:color="D8D2DE"/>
            </w:tcBorders>
          </w:tcPr>
          <w:p>
            <w:r>
              <w:rPr>
                <w:rFonts w:ascii="Aptos" w:hAnsi="Aptos"/>
                <w:sz w:val="17"/>
              </w:rPr>
              <w:t>Person responsible for follow-up.</w:t>
            </w:r>
          </w:p>
        </w:tc>
      </w:tr>
      <w:tr>
        <w:tc>
          <w:tcPr>
            <w:tcW w:type="dxa" w:w="2232"/>
            <w:vAlign w:val="top"/>
            <w:tcBorders>
              <w:top w:val="single" w:sz="4" w:color="D8D2DE"/>
              <w:left w:val="single" w:sz="4" w:color="D8D2DE"/>
              <w:bottom w:val="single" w:sz="4" w:color="D8D2DE"/>
              <w:right w:val="single" w:sz="4" w:color="D8D2DE"/>
            </w:tcBorders>
          </w:tcPr>
          <w:p>
            <w:r>
              <w:rPr>
                <w:rFonts w:ascii="Aptos" w:hAnsi="Aptos"/>
                <w:sz w:val="17"/>
              </w:rPr>
              <w:t>Status</w:t>
            </w:r>
          </w:p>
        </w:tc>
        <w:tc>
          <w:tcPr>
            <w:tcW w:type="dxa" w:w="8568"/>
            <w:vAlign w:val="top"/>
            <w:tcBorders>
              <w:top w:val="single" w:sz="4" w:color="D8D2DE"/>
              <w:left w:val="single" w:sz="4" w:color="D8D2DE"/>
              <w:bottom w:val="single" w:sz="4" w:color="D8D2DE"/>
              <w:right w:val="single" w:sz="4" w:color="D8D2DE"/>
            </w:tcBorders>
          </w:tcPr>
          <w:p>
            <w:r>
              <w:rPr>
                <w:rFonts w:ascii="Aptos" w:hAnsi="Aptos"/>
                <w:sz w:val="17"/>
              </w:rPr>
              <w:t>Open / supplied / follow-up required / closed.</w:t>
            </w:r>
          </w:p>
        </w:tc>
      </w:tr>
      <w:tr>
        <w:tc>
          <w:tcPr>
            <w:tcW w:type="dxa" w:w="2232"/>
            <w:vAlign w:val="top"/>
            <w:tcBorders>
              <w:top w:val="single" w:sz="4" w:color="D8D2DE"/>
              <w:left w:val="single" w:sz="4" w:color="D8D2DE"/>
              <w:bottom w:val="single" w:sz="4" w:color="D8D2DE"/>
              <w:right w:val="single" w:sz="4" w:color="D8D2DE"/>
            </w:tcBorders>
          </w:tcPr>
          <w:p>
            <w:r>
              <w:rPr>
                <w:rFonts w:ascii="Aptos" w:hAnsi="Aptos"/>
                <w:sz w:val="17"/>
              </w:rPr>
              <w:t>Exception/issue link</w:t>
            </w:r>
          </w:p>
        </w:tc>
        <w:tc>
          <w:tcPr>
            <w:tcW w:type="dxa" w:w="8568"/>
            <w:vAlign w:val="top"/>
            <w:tcBorders>
              <w:top w:val="single" w:sz="4" w:color="D8D2DE"/>
              <w:left w:val="single" w:sz="4" w:color="D8D2DE"/>
              <w:bottom w:val="single" w:sz="4" w:color="D8D2DE"/>
              <w:right w:val="single" w:sz="4" w:color="D8D2DE"/>
            </w:tcBorders>
          </w:tcPr>
          <w:p>
            <w:r>
              <w:rPr>
                <w:rFonts w:ascii="Aptos" w:hAnsi="Aptos"/>
                <w:sz w:val="17"/>
              </w:rPr>
              <w:t>Any known limitation already tracked in PurpleWASP.</w:t>
            </w:r>
          </w:p>
        </w:tc>
      </w:tr>
    </w:tbl>
    <w:p>
      <w:pPr>
        <w:spacing w:after="20"/>
      </w:pPr>
    </w:p>
    <w:p>
      <w:pPr>
        <w:pStyle w:val="Heading2"/>
      </w:pPr>
      <w:r>
        <w:rPr>
          <w:rFonts w:ascii="Aptos" w:hAnsi="Aptos"/>
          <w:b/>
          <w:color w:val="24152E"/>
          <w:sz w:val="28"/>
        </w:rPr>
        <w:t>22.3 Do not oversell automation</w:t>
      </w:r>
    </w:p>
    <w:p>
      <w:pPr>
        <w:spacing w:after="100"/>
      </w:pPr>
      <w:r>
        <w:rPr>
          <w:rFonts w:ascii="Aptos" w:hAnsi="Aptos"/>
        </w:rPr>
        <w:t>Automated collection and readiness signals reduce manual work, but the service auditor still determines sufficient appropriate evidence, sample sizes, procedures and the final opinion. If PurpleWASP has an evidence item but the underlying source or completeness is unclear, treat that as a documentation problem rather than an automation success.</w:t>
      </w:r>
    </w:p>
    <w:p>
      <w:r>
        <w:br w:type="page"/>
      </w:r>
    </w:p>
    <w:p>
      <w:pPr>
        <w:pStyle w:val="Heading1"/>
      </w:pPr>
      <w:r>
        <w:rPr>
          <w:rFonts w:ascii="Aptos" w:hAnsi="Aptos"/>
          <w:b/>
          <w:color w:val="4B0983"/>
          <w:sz w:val="38"/>
        </w:rPr>
        <w:t>23. Example: first SOC 2 journey from zero to readiness</w:t>
      </w:r>
    </w:p>
    <w:tbl>
      <w:tblPr>
        <w:tblW w:type="auto" w:w="0"/>
        <w:jc w:val="center"/>
        <w:tblLayout w:type="autofit"/>
        <w:tblLook w:firstColumn="1" w:firstRow="1" w:lastColumn="0" w:lastRow="0" w:noHBand="0" w:noVBand="1" w:val="04A0"/>
      </w:tblPr>
      <w:tblGrid>
        <w:gridCol w:w="9994"/>
      </w:tblGrid>
      <w:tr>
        <w:tc>
          <w:tcPr>
            <w:tcW w:type="dxa" w:w="9994"/>
            <w:shd w:fill="EEF5FF"/>
            <w:tcBorders>
              <w:top w:val="nil"/>
              <w:left w:val="single" w:sz="18" w:color="1F5AA6"/>
              <w:bottom w:val="nil"/>
              <w:right w:val="nil"/>
            </w:tcBorders>
          </w:tcPr>
          <w:p>
            <w:pPr>
              <w:spacing w:after="60"/>
            </w:pPr>
            <w:r>
              <w:rPr>
                <w:rFonts w:ascii="Aptos" w:hAnsi="Aptos"/>
                <w:b/>
                <w:color w:val="1F5AA6"/>
                <w:sz w:val="21"/>
              </w:rPr>
              <w:t>Example only</w:t>
            </w:r>
          </w:p>
          <w:p>
            <w:pPr>
              <w:spacing w:after="0"/>
            </w:pPr>
            <w:r>
              <w:rPr>
                <w:rFonts w:ascii="Aptos" w:hAnsi="Aptos"/>
                <w:sz w:val="19"/>
              </w:rPr>
              <w:t>The company, system, dates and decisions below are fictional. They show how to think through the workflow; they are not a template that every organisation should copy.</w:t>
            </w:r>
          </w:p>
        </w:tc>
      </w:tr>
    </w:tbl>
    <w:p>
      <w:pPr>
        <w:spacing w:after="20"/>
      </w:pPr>
    </w:p>
    <w:p>
      <w:pPr>
        <w:spacing w:after="100"/>
      </w:pPr>
      <w:r>
        <w:rPr>
          <w:rFonts w:ascii="Aptos" w:hAnsi="Aptos"/>
        </w:rPr>
        <w:t>Assume ExampleCloud operates a B2B SaaS platform. Customers ask for SOC 2 because the platform stores customer business data and is expected to be highly available. The company has never completed SOC 2 before.</w:t>
      </w:r>
    </w:p>
    <w:p>
      <w:pPr>
        <w:pStyle w:val="Heading2"/>
      </w:pPr>
      <w:r>
        <w:rPr>
          <w:rFonts w:ascii="Aptos" w:hAnsi="Aptos"/>
          <w:b/>
          <w:color w:val="24152E"/>
          <w:sz w:val="28"/>
        </w:rPr>
        <w:t>23.1 Scope</w:t>
      </w:r>
    </w:p>
    <w:p>
      <w:pPr>
        <w:spacing w:after="80"/>
        <w:ind w:left="259" w:hanging="259"/>
      </w:pPr>
      <w:r>
        <w:rPr>
          <w:rFonts w:ascii="Aptos" w:hAnsi="Aptos"/>
          <w:b/>
          <w:color w:val="4B0983"/>
        </w:rPr>
        <w:t xml:space="preserve">1. </w:t>
      </w:r>
      <w:r>
        <w:rPr>
          <w:rFonts w:ascii="Aptos" w:hAnsi="Aptos"/>
          <w:b/>
        </w:rPr>
        <w:t xml:space="preserve">Select Security. </w:t>
      </w:r>
      <w:r>
        <w:rPr>
          <w:rFonts w:ascii="Aptos" w:hAnsi="Aptos"/>
        </w:rPr>
        <w:t>It is the baseline.</w:t>
      </w:r>
    </w:p>
    <w:p>
      <w:pPr>
        <w:spacing w:after="80"/>
        <w:ind w:left="259" w:hanging="259"/>
      </w:pPr>
      <w:r>
        <w:rPr>
          <w:rFonts w:ascii="Aptos" w:hAnsi="Aptos"/>
          <w:b/>
          <w:color w:val="4B0983"/>
        </w:rPr>
        <w:t xml:space="preserve">2. </w:t>
      </w:r>
      <w:r>
        <w:rPr>
          <w:rFonts w:ascii="Aptos" w:hAnsi="Aptos"/>
          <w:b/>
        </w:rPr>
        <w:t xml:space="preserve">Select Availability. </w:t>
      </w:r>
      <w:r>
        <w:rPr>
          <w:rFonts w:ascii="Aptos" w:hAnsi="Aptos"/>
        </w:rPr>
        <w:t>The contracts contain uptime and recovery commitments.</w:t>
      </w:r>
    </w:p>
    <w:p>
      <w:pPr>
        <w:spacing w:after="80"/>
        <w:ind w:left="259" w:hanging="259"/>
      </w:pPr>
      <w:r>
        <w:rPr>
          <w:rFonts w:ascii="Aptos" w:hAnsi="Aptos"/>
          <w:b/>
          <w:color w:val="4B0983"/>
        </w:rPr>
        <w:t xml:space="preserve">3. </w:t>
      </w:r>
      <w:r>
        <w:rPr>
          <w:rFonts w:ascii="Aptos" w:hAnsi="Aptos"/>
          <w:b/>
        </w:rPr>
        <w:t xml:space="preserve">Do not select Processing Integrity, Confidentiality or Privacy solely because they sound important. </w:t>
      </w:r>
      <w:r>
        <w:rPr>
          <w:rFonts w:ascii="Aptos" w:hAnsi="Aptos"/>
        </w:rPr>
        <w:t>The SOC 2 lead documents why they are not intended examination categories for this first report and confirms with the service auditor.</w:t>
      </w:r>
    </w:p>
    <w:p>
      <w:pPr>
        <w:spacing w:after="80"/>
        <w:ind w:left="259" w:hanging="259"/>
      </w:pPr>
      <w:r>
        <w:rPr>
          <w:rFonts w:ascii="Aptos" w:hAnsi="Aptos"/>
          <w:b/>
          <w:color w:val="4B0983"/>
        </w:rPr>
        <w:t xml:space="preserve">4. </w:t>
      </w:r>
      <w:r>
        <w:rPr>
          <w:rFonts w:ascii="Aptos" w:hAnsi="Aptos"/>
          <w:b/>
        </w:rPr>
        <w:t xml:space="preserve">Select production operations, customer onboarding, access administration, incident response and change management as process anchors. </w:t>
      </w:r>
      <w:r>
        <w:rPr>
          <w:rFonts w:ascii="Aptos" w:hAnsi="Aptos"/>
        </w:rPr>
        <w:t>Discovery returns production cloud accounts, identity provider, ticketing system, monitoring platform and several vendors.</w:t>
      </w:r>
    </w:p>
    <w:p>
      <w:pPr>
        <w:spacing w:after="80"/>
        <w:ind w:left="259" w:hanging="259"/>
      </w:pPr>
      <w:r>
        <w:rPr>
          <w:rFonts w:ascii="Aptos" w:hAnsi="Aptos"/>
          <w:b/>
          <w:color w:val="4B0983"/>
        </w:rPr>
        <w:t xml:space="preserve">5. </w:t>
      </w:r>
      <w:r>
        <w:rPr>
          <w:rFonts w:ascii="Aptos" w:hAnsi="Aptos"/>
          <w:b/>
        </w:rPr>
        <w:t xml:space="preserve">Resolve the monitoring provider as an included third party with a specific supporting service. </w:t>
      </w:r>
      <w:r>
        <w:rPr>
          <w:rFonts w:ascii="Aptos" w:hAnsi="Aptos"/>
        </w:rPr>
        <w:t>Management plans carve-out treatment and writes the rationale.</w:t>
      </w:r>
    </w:p>
    <w:p>
      <w:pPr>
        <w:spacing w:after="80"/>
        <w:ind w:left="259" w:hanging="259"/>
      </w:pPr>
      <w:r>
        <w:rPr>
          <w:rFonts w:ascii="Aptos" w:hAnsi="Aptos"/>
          <w:b/>
          <w:color w:val="4B0983"/>
        </w:rPr>
        <w:t xml:space="preserve">6. </w:t>
      </w:r>
      <w:r>
        <w:rPr>
          <w:rFonts w:ascii="Aptos" w:hAnsi="Aptos"/>
          <w:b/>
        </w:rPr>
        <w:t xml:space="preserve">Set Type II for 1 January to 30 June. </w:t>
      </w:r>
      <w:r>
        <w:rPr>
          <w:rFonts w:ascii="Aptos" w:hAnsi="Aptos"/>
        </w:rPr>
        <w:t>The target report date is later in the year.</w:t>
      </w:r>
    </w:p>
    <w:p>
      <w:pPr>
        <w:spacing w:after="80"/>
        <w:ind w:left="259" w:hanging="259"/>
      </w:pPr>
      <w:r>
        <w:rPr>
          <w:rFonts w:ascii="Aptos" w:hAnsi="Aptos"/>
          <w:b/>
          <w:color w:val="4B0983"/>
        </w:rPr>
        <w:t xml:space="preserve">7. </w:t>
      </w:r>
      <w:r>
        <w:rPr>
          <w:rFonts w:ascii="Aptos" w:hAnsi="Aptos"/>
          <w:b/>
        </w:rPr>
        <w:t xml:space="preserve">Document CUECs. </w:t>
      </w:r>
      <w:r>
        <w:rPr>
          <w:rFonts w:ascii="Aptos" w:hAnsi="Aptos"/>
        </w:rPr>
        <w:t>Customers must maintain authorised user lists and promptly remove access for terminated users.</w:t>
      </w:r>
    </w:p>
    <w:p>
      <w:pPr>
        <w:pStyle w:val="Heading2"/>
      </w:pPr>
      <w:r>
        <w:rPr>
          <w:rFonts w:ascii="Aptos" w:hAnsi="Aptos"/>
          <w:b/>
          <w:color w:val="24152E"/>
          <w:sz w:val="28"/>
        </w:rPr>
        <w:t>23.2 Controls</w:t>
      </w:r>
    </w:p>
    <w:p>
      <w:pPr>
        <w:spacing w:after="100"/>
      </w:pPr>
      <w:r>
        <w:rPr>
          <w:rFonts w:ascii="Aptos" w:hAnsi="Aptos"/>
        </w:rPr>
        <w:t>The criteria workspace shows candidate governance, access, change, incident, vendor and availability controls. ExampleCloud adopts only controls it actually operates, then selects the smallest defensible control set that collectively covers the applicable criteria. Candidate controls that do not match the service are explicitly not used rather than silently ignored.</w:t>
      </w:r>
    </w:p>
    <w:p>
      <w:pPr>
        <w:pStyle w:val="Heading2"/>
      </w:pPr>
      <w:r>
        <w:rPr>
          <w:rFonts w:ascii="Aptos" w:hAnsi="Aptos"/>
          <w:b/>
          <w:color w:val="24152E"/>
          <w:sz w:val="28"/>
        </w:rPr>
        <w:t>23.3 Implementation and evidence</w:t>
      </w:r>
    </w:p>
    <w:p>
      <w:pPr>
        <w:spacing w:after="100"/>
      </w:pPr>
      <w:r>
        <w:rPr>
          <w:rFonts w:ascii="Aptos" w:hAnsi="Aptos"/>
        </w:rPr>
        <w:t>For the quarterly access review control, the implementation statement identifies the identity platform, review owner, quarterly cadence, reviewer steps, approval record and remediation process. Evidence is linked for each quarter using the actual review/export date. A Combined assessment is finalised as Effective after the assessor reviews the procedure and a sample of completed reviews.</w:t>
      </w:r>
    </w:p>
    <w:p>
      <w:pPr>
        <w:pStyle w:val="Heading2"/>
      </w:pPr>
      <w:r>
        <w:rPr>
          <w:rFonts w:ascii="Aptos" w:hAnsi="Aptos"/>
          <w:b/>
          <w:color w:val="24152E"/>
          <w:sz w:val="28"/>
        </w:rPr>
        <w:t>23.4 Testing and remediation</w:t>
      </w:r>
    </w:p>
    <w:p>
      <w:pPr>
        <w:spacing w:after="100"/>
      </w:pPr>
      <w:r>
        <w:rPr>
          <w:rFonts w:ascii="Aptos" w:hAnsi="Aptos"/>
        </w:rPr>
        <w:t>A quarterly access-review test is created. The Q1 run passes. Q2 finds one terminated user with delayed removal. The test run is recorded as Failed/exceptional, an issue is opened with High severity, remediation is assigned and a follow-up test is recorded after correction. Management does not delete the failed run; it preserves the history and explains the remediation.</w:t>
      </w:r>
    </w:p>
    <w:p>
      <w:pPr>
        <w:pStyle w:val="Heading2"/>
      </w:pPr>
      <w:r>
        <w:rPr>
          <w:rFonts w:ascii="Aptos" w:hAnsi="Aptos"/>
          <w:b/>
          <w:color w:val="24152E"/>
          <w:sz w:val="28"/>
        </w:rPr>
        <w:t>23.5 Readiness</w:t>
      </w:r>
    </w:p>
    <w:p>
      <w:pPr>
        <w:spacing w:after="100"/>
      </w:pPr>
      <w:r>
        <w:rPr>
          <w:rFonts w:ascii="Aptos" w:hAnsi="Aptos"/>
        </w:rPr>
        <w:t>Operational Readiness initially shows the access control as needing attention because of the active issue. After remediation and retest, the control recommendation improves. Management records the control decision with rationale, then records criterion decisions. If one availability criterion still lacks sufficient in-period evidence, the engagement may remain Conditionally Ready until the final evidence arrives rather than forcing a Ready conclusion.</w:t>
      </w:r>
    </w:p>
    <w:p>
      <w:r>
        <w:br w:type="page"/>
      </w:r>
    </w:p>
    <w:p>
      <w:pPr>
        <w:pStyle w:val="Heading1"/>
      </w:pPr>
      <w:r>
        <w:rPr>
          <w:rFonts w:ascii="Aptos" w:hAnsi="Aptos"/>
          <w:b/>
          <w:color w:val="4B0983"/>
          <w:sz w:val="38"/>
        </w:rPr>
        <w:t>24. Recommended operating cadence</w:t>
      </w:r>
    </w:p>
    <w:tbl>
      <w:tblPr>
        <w:tblStyle w:val="TableGrid"/>
        <w:tblW w:type="auto" w:w="0"/>
        <w:jc w:val="center"/>
        <w:tblLook w:firstColumn="1" w:firstRow="1" w:lastColumn="0" w:lastRow="0" w:noHBand="0" w:noVBand="1" w:val="04A0"/>
      </w:tblPr>
      <w:tblGrid>
        <w:gridCol w:w="3331"/>
        <w:gridCol w:w="3331"/>
        <w:gridCol w:w="3331"/>
      </w:tblGrid>
      <w:tr>
        <w:tc>
          <w:tcPr>
            <w:tcW w:type="dxa" w:w="1800"/>
            <w:shd w:fill="4B0983"/>
            <w:vAlign w:val="center"/>
          </w:tcPr>
          <w:p>
            <w:pPr>
              <w:jc w:val="left"/>
            </w:pPr>
            <w:r>
              <w:rPr>
                <w:rFonts w:ascii="Aptos" w:hAnsi="Aptos"/>
                <w:b/>
                <w:color w:val="FFFFFF"/>
                <w:sz w:val="17"/>
              </w:rPr>
              <w:t>Cadence</w:t>
            </w:r>
          </w:p>
        </w:tc>
        <w:tc>
          <w:tcPr>
            <w:tcW w:type="dxa" w:w="4752"/>
            <w:shd w:fill="4B0983"/>
            <w:vAlign w:val="center"/>
          </w:tcPr>
          <w:p>
            <w:pPr>
              <w:jc w:val="left"/>
            </w:pPr>
            <w:r>
              <w:rPr>
                <w:rFonts w:ascii="Aptos" w:hAnsi="Aptos"/>
                <w:b/>
                <w:color w:val="FFFFFF"/>
                <w:sz w:val="17"/>
              </w:rPr>
              <w:t>SOC 2 lead activities</w:t>
            </w:r>
          </w:p>
        </w:tc>
        <w:tc>
          <w:tcPr>
            <w:tcW w:type="dxa" w:w="4320"/>
            <w:shd w:fill="4B0983"/>
            <w:vAlign w:val="center"/>
          </w:tcPr>
          <w:p>
            <w:pPr>
              <w:jc w:val="left"/>
            </w:pPr>
            <w:r>
              <w:rPr>
                <w:rFonts w:ascii="Aptos" w:hAnsi="Aptos"/>
                <w:b/>
                <w:color w:val="FFFFFF"/>
                <w:sz w:val="17"/>
              </w:rPr>
              <w:t>Control/evidence owner activities</w:t>
            </w:r>
          </w:p>
        </w:tc>
      </w:tr>
      <w:tr>
        <w:tc>
          <w:tcPr>
            <w:tcW w:type="dxa" w:w="1800"/>
            <w:vAlign w:val="top"/>
            <w:tcBorders>
              <w:top w:val="single" w:sz="4" w:color="D8D2DE"/>
              <w:left w:val="single" w:sz="4" w:color="D8D2DE"/>
              <w:bottom w:val="single" w:sz="4" w:color="D8D2DE"/>
              <w:right w:val="single" w:sz="4" w:color="D8D2DE"/>
            </w:tcBorders>
          </w:tcPr>
          <w:p>
            <w:r>
              <w:rPr>
                <w:rFonts w:ascii="Aptos" w:hAnsi="Aptos"/>
                <w:sz w:val="17"/>
              </w:rPr>
              <w:t>Weekly during implementation</w:t>
            </w:r>
          </w:p>
        </w:tc>
        <w:tc>
          <w:tcPr>
            <w:tcW w:type="dxa" w:w="4752"/>
            <w:vAlign w:val="top"/>
            <w:tcBorders>
              <w:top w:val="single" w:sz="4" w:color="D8D2DE"/>
              <w:left w:val="single" w:sz="4" w:color="D8D2DE"/>
              <w:bottom w:val="single" w:sz="4" w:color="D8D2DE"/>
              <w:right w:val="single" w:sz="4" w:color="D8D2DE"/>
            </w:tcBorders>
          </w:tcPr>
          <w:p>
            <w:r>
              <w:rPr>
                <w:rFonts w:ascii="Aptos" w:hAnsi="Aptos"/>
                <w:sz w:val="17"/>
              </w:rPr>
              <w:t>Review new blockers, unresolved scope/coverage decisions, overdue remediation and upcoming test/evidence deadlines.</w:t>
            </w:r>
          </w:p>
        </w:tc>
        <w:tc>
          <w:tcPr>
            <w:tcW w:type="dxa" w:w="4320"/>
            <w:vAlign w:val="top"/>
            <w:tcBorders>
              <w:top w:val="single" w:sz="4" w:color="D8D2DE"/>
              <w:left w:val="single" w:sz="4" w:color="D8D2DE"/>
              <w:bottom w:val="single" w:sz="4" w:color="D8D2DE"/>
              <w:right w:val="single" w:sz="4" w:color="D8D2DE"/>
            </w:tcBorders>
          </w:tcPr>
          <w:p>
            <w:r>
              <w:rPr>
                <w:rFonts w:ascii="Aptos" w:hAnsi="Aptos"/>
                <w:sz w:val="17"/>
              </w:rPr>
              <w:t>Complete assigned implementation updates, evidence requests and issue actions.</w:t>
            </w:r>
          </w:p>
        </w:tc>
      </w:tr>
      <w:tr>
        <w:tc>
          <w:tcPr>
            <w:tcW w:type="dxa" w:w="1800"/>
            <w:vAlign w:val="top"/>
            <w:tcBorders>
              <w:top w:val="single" w:sz="4" w:color="D8D2DE"/>
              <w:left w:val="single" w:sz="4" w:color="D8D2DE"/>
              <w:bottom w:val="single" w:sz="4" w:color="D8D2DE"/>
              <w:right w:val="single" w:sz="4" w:color="D8D2DE"/>
            </w:tcBorders>
          </w:tcPr>
          <w:p>
            <w:r>
              <w:rPr>
                <w:rFonts w:ascii="Aptos" w:hAnsi="Aptos"/>
                <w:sz w:val="17"/>
              </w:rPr>
              <w:t>Monthly during Type II period</w:t>
            </w:r>
          </w:p>
        </w:tc>
        <w:tc>
          <w:tcPr>
            <w:tcW w:type="dxa" w:w="4752"/>
            <w:vAlign w:val="top"/>
            <w:tcBorders>
              <w:top w:val="single" w:sz="4" w:color="D8D2DE"/>
              <w:left w:val="single" w:sz="4" w:color="D8D2DE"/>
              <w:bottom w:val="single" w:sz="4" w:color="D8D2DE"/>
              <w:right w:val="single" w:sz="4" w:color="D8D2DE"/>
            </w:tcBorders>
          </w:tcPr>
          <w:p>
            <w:r>
              <w:rPr>
                <w:rFonts w:ascii="Aptos" w:hAnsi="Aptos"/>
                <w:sz w:val="17"/>
              </w:rPr>
              <w:t>Review Operational Readiness, period-relevant evidence growth, active exceptions, overdue tests and assessment validity.</w:t>
            </w:r>
          </w:p>
        </w:tc>
        <w:tc>
          <w:tcPr>
            <w:tcW w:type="dxa" w:w="4320"/>
            <w:vAlign w:val="top"/>
            <w:tcBorders>
              <w:top w:val="single" w:sz="4" w:color="D8D2DE"/>
              <w:left w:val="single" w:sz="4" w:color="D8D2DE"/>
              <w:bottom w:val="single" w:sz="4" w:color="D8D2DE"/>
              <w:right w:val="single" w:sz="4" w:color="D8D2DE"/>
            </w:tcBorders>
          </w:tcPr>
          <w:p>
            <w:r>
              <w:rPr>
                <w:rFonts w:ascii="Aptos" w:hAnsi="Aptos"/>
                <w:sz w:val="17"/>
              </w:rPr>
              <w:t>Upload/link evidence from monthly controls and resolve failed control operation.</w:t>
            </w:r>
          </w:p>
        </w:tc>
      </w:tr>
      <w:tr>
        <w:tc>
          <w:tcPr>
            <w:tcW w:type="dxa" w:w="1800"/>
            <w:vAlign w:val="top"/>
            <w:tcBorders>
              <w:top w:val="single" w:sz="4" w:color="D8D2DE"/>
              <w:left w:val="single" w:sz="4" w:color="D8D2DE"/>
              <w:bottom w:val="single" w:sz="4" w:color="D8D2DE"/>
              <w:right w:val="single" w:sz="4" w:color="D8D2DE"/>
            </w:tcBorders>
          </w:tcPr>
          <w:p>
            <w:r>
              <w:rPr>
                <w:rFonts w:ascii="Aptos" w:hAnsi="Aptos"/>
                <w:sz w:val="17"/>
              </w:rPr>
              <w:t>Quarterly</w:t>
            </w:r>
          </w:p>
        </w:tc>
        <w:tc>
          <w:tcPr>
            <w:tcW w:type="dxa" w:w="4752"/>
            <w:vAlign w:val="top"/>
            <w:tcBorders>
              <w:top w:val="single" w:sz="4" w:color="D8D2DE"/>
              <w:left w:val="single" w:sz="4" w:color="D8D2DE"/>
              <w:bottom w:val="single" w:sz="4" w:color="D8D2DE"/>
              <w:right w:val="single" w:sz="4" w:color="D8D2DE"/>
            </w:tcBorders>
          </w:tcPr>
          <w:p>
            <w:r>
              <w:rPr>
                <w:rFonts w:ascii="Aptos" w:hAnsi="Aptos"/>
                <w:sz w:val="17"/>
              </w:rPr>
              <w:t>Review criterion coverage, quarterly control evidence, test results, third-party changes and scope changes.</w:t>
            </w:r>
          </w:p>
        </w:tc>
        <w:tc>
          <w:tcPr>
            <w:tcW w:type="dxa" w:w="4320"/>
            <w:vAlign w:val="top"/>
            <w:tcBorders>
              <w:top w:val="single" w:sz="4" w:color="D8D2DE"/>
              <w:left w:val="single" w:sz="4" w:color="D8D2DE"/>
              <w:bottom w:val="single" w:sz="4" w:color="D8D2DE"/>
              <w:right w:val="single" w:sz="4" w:color="D8D2DE"/>
            </w:tcBorders>
          </w:tcPr>
          <w:p>
            <w:r>
              <w:rPr>
                <w:rFonts w:ascii="Aptos" w:hAnsi="Aptos"/>
                <w:sz w:val="17"/>
              </w:rPr>
              <w:t>Run quarterly tests/reviews and update implementation statements if procedures changed.</w:t>
            </w:r>
          </w:p>
        </w:tc>
      </w:tr>
      <w:tr>
        <w:tc>
          <w:tcPr>
            <w:tcW w:type="dxa" w:w="1800"/>
            <w:vAlign w:val="top"/>
            <w:tcBorders>
              <w:top w:val="single" w:sz="4" w:color="D8D2DE"/>
              <w:left w:val="single" w:sz="4" w:color="D8D2DE"/>
              <w:bottom w:val="single" w:sz="4" w:color="D8D2DE"/>
              <w:right w:val="single" w:sz="4" w:color="D8D2DE"/>
            </w:tcBorders>
          </w:tcPr>
          <w:p>
            <w:r>
              <w:rPr>
                <w:rFonts w:ascii="Aptos" w:hAnsi="Aptos"/>
                <w:sz w:val="17"/>
              </w:rPr>
              <w:t>Before fieldwork</w:t>
            </w:r>
          </w:p>
        </w:tc>
        <w:tc>
          <w:tcPr>
            <w:tcW w:type="dxa" w:w="4752"/>
            <w:vAlign w:val="top"/>
            <w:tcBorders>
              <w:top w:val="single" w:sz="4" w:color="D8D2DE"/>
              <w:left w:val="single" w:sz="4" w:color="D8D2DE"/>
              <w:bottom w:val="single" w:sz="4" w:color="D8D2DE"/>
              <w:right w:val="single" w:sz="4" w:color="D8D2DE"/>
            </w:tcBorders>
          </w:tcPr>
          <w:p>
            <w:r>
              <w:rPr>
                <w:rFonts w:ascii="Aptos" w:hAnsi="Aptos"/>
                <w:sz w:val="17"/>
              </w:rPr>
              <w:t>Run full readiness review, close or document material issues, complete criterion decisions and update the engagement decision.</w:t>
            </w:r>
          </w:p>
        </w:tc>
        <w:tc>
          <w:tcPr>
            <w:tcW w:type="dxa" w:w="4320"/>
            <w:vAlign w:val="top"/>
            <w:tcBorders>
              <w:top w:val="single" w:sz="4" w:color="D8D2DE"/>
              <w:left w:val="single" w:sz="4" w:color="D8D2DE"/>
              <w:bottom w:val="single" w:sz="4" w:color="D8D2DE"/>
              <w:right w:val="single" w:sz="4" w:color="D8D2DE"/>
            </w:tcBorders>
          </w:tcPr>
          <w:p>
            <w:r>
              <w:rPr>
                <w:rFonts w:ascii="Aptos" w:hAnsi="Aptos"/>
                <w:sz w:val="17"/>
              </w:rPr>
              <w:t>Verify all PBC evidence references are accessible and period metadata is accurate.</w:t>
            </w:r>
          </w:p>
        </w:tc>
      </w:tr>
      <w:tr>
        <w:tc>
          <w:tcPr>
            <w:tcW w:type="dxa" w:w="1800"/>
            <w:vAlign w:val="top"/>
            <w:tcBorders>
              <w:top w:val="single" w:sz="4" w:color="D8D2DE"/>
              <w:left w:val="single" w:sz="4" w:color="D8D2DE"/>
              <w:bottom w:val="single" w:sz="4" w:color="D8D2DE"/>
              <w:right w:val="single" w:sz="4" w:color="D8D2DE"/>
            </w:tcBorders>
          </w:tcPr>
          <w:p>
            <w:r>
              <w:rPr>
                <w:rFonts w:ascii="Aptos" w:hAnsi="Aptos"/>
                <w:sz w:val="17"/>
              </w:rPr>
              <w:t>After examination / major change</w:t>
            </w:r>
          </w:p>
        </w:tc>
        <w:tc>
          <w:tcPr>
            <w:tcW w:type="dxa" w:w="4752"/>
            <w:vAlign w:val="top"/>
            <w:tcBorders>
              <w:top w:val="single" w:sz="4" w:color="D8D2DE"/>
              <w:left w:val="single" w:sz="4" w:color="D8D2DE"/>
              <w:bottom w:val="single" w:sz="4" w:color="D8D2DE"/>
              <w:right w:val="single" w:sz="4" w:color="D8D2DE"/>
            </w:tcBorders>
          </w:tcPr>
          <w:p>
            <w:r>
              <w:rPr>
                <w:rFonts w:ascii="Aptos" w:hAnsi="Aptos"/>
                <w:sz w:val="17"/>
              </w:rPr>
              <w:t>Retain history, review lessons learned, update the next engagement scope and control plan.</w:t>
            </w:r>
          </w:p>
        </w:tc>
        <w:tc>
          <w:tcPr>
            <w:tcW w:type="dxa" w:w="4320"/>
            <w:vAlign w:val="top"/>
            <w:tcBorders>
              <w:top w:val="single" w:sz="4" w:color="D8D2DE"/>
              <w:left w:val="single" w:sz="4" w:color="D8D2DE"/>
              <w:bottom w:val="single" w:sz="4" w:color="D8D2DE"/>
              <w:right w:val="single" w:sz="4" w:color="D8D2DE"/>
            </w:tcBorders>
          </w:tcPr>
          <w:p>
            <w:r>
              <w:rPr>
                <w:rFonts w:ascii="Aptos" w:hAnsi="Aptos"/>
                <w:sz w:val="17"/>
              </w:rPr>
              <w:t>Update control design and evidence cadence for identified improvements.</w:t>
            </w:r>
          </w:p>
        </w:tc>
      </w:tr>
    </w:tbl>
    <w:p>
      <w:pPr>
        <w:spacing w:after="20"/>
      </w:pPr>
    </w:p>
    <w:p>
      <w:r>
        <w:br w:type="page"/>
      </w:r>
    </w:p>
    <w:p>
      <w:pPr>
        <w:pStyle w:val="Heading1"/>
      </w:pPr>
      <w:r>
        <w:rPr>
          <w:rFonts w:ascii="Aptos" w:hAnsi="Aptos"/>
          <w:b/>
          <w:color w:val="4B0983"/>
          <w:sz w:val="38"/>
        </w:rPr>
        <w:t>25. Common mistakes and how to correct them</w:t>
      </w:r>
    </w:p>
    <w:tbl>
      <w:tblPr>
        <w:tblStyle w:val="TableGrid"/>
        <w:tblW w:type="auto" w:w="0"/>
        <w:jc w:val="center"/>
        <w:tblLook w:firstColumn="1" w:firstRow="1" w:lastColumn="0" w:lastRow="0" w:noHBand="0" w:noVBand="1" w:val="04A0"/>
      </w:tblPr>
      <w:tblGrid>
        <w:gridCol w:w="3331"/>
        <w:gridCol w:w="3331"/>
        <w:gridCol w:w="3331"/>
      </w:tblGrid>
      <w:tr>
        <w:tc>
          <w:tcPr>
            <w:tcW w:type="dxa" w:w="2448"/>
            <w:shd w:fill="4B0983"/>
            <w:vAlign w:val="center"/>
          </w:tcPr>
          <w:p>
            <w:pPr>
              <w:jc w:val="left"/>
            </w:pPr>
            <w:r>
              <w:rPr>
                <w:rFonts w:ascii="Aptos" w:hAnsi="Aptos"/>
                <w:b/>
                <w:color w:val="FFFFFF"/>
                <w:sz w:val="17"/>
              </w:rPr>
              <w:t>Mistake</w:t>
            </w:r>
          </w:p>
        </w:tc>
        <w:tc>
          <w:tcPr>
            <w:tcW w:type="dxa" w:w="4464"/>
            <w:shd w:fill="4B0983"/>
            <w:vAlign w:val="center"/>
          </w:tcPr>
          <w:p>
            <w:pPr>
              <w:jc w:val="left"/>
            </w:pPr>
            <w:r>
              <w:rPr>
                <w:rFonts w:ascii="Aptos" w:hAnsi="Aptos"/>
                <w:b/>
                <w:color w:val="FFFFFF"/>
                <w:sz w:val="17"/>
              </w:rPr>
              <w:t>Why it causes problems</w:t>
            </w:r>
          </w:p>
        </w:tc>
        <w:tc>
          <w:tcPr>
            <w:tcW w:type="dxa" w:w="4032"/>
            <w:shd w:fill="4B0983"/>
            <w:vAlign w:val="center"/>
          </w:tcPr>
          <w:p>
            <w:pPr>
              <w:jc w:val="left"/>
            </w:pPr>
            <w:r>
              <w:rPr>
                <w:rFonts w:ascii="Aptos" w:hAnsi="Aptos"/>
                <w:b/>
                <w:color w:val="FFFFFF"/>
                <w:sz w:val="17"/>
              </w:rPr>
              <w:t>Correction</w:t>
            </w:r>
          </w:p>
        </w:tc>
      </w:tr>
      <w:tr>
        <w:tc>
          <w:tcPr>
            <w:tcW w:type="dxa" w:w="2448"/>
            <w:vAlign w:val="top"/>
            <w:tcBorders>
              <w:top w:val="single" w:sz="4" w:color="D8D2DE"/>
              <w:left w:val="single" w:sz="4" w:color="D8D2DE"/>
              <w:bottom w:val="single" w:sz="4" w:color="D8D2DE"/>
              <w:right w:val="single" w:sz="4" w:color="D8D2DE"/>
            </w:tcBorders>
          </w:tcPr>
          <w:p>
            <w:r>
              <w:rPr>
                <w:rFonts w:ascii="Aptos" w:hAnsi="Aptos"/>
                <w:sz w:val="17"/>
              </w:rPr>
              <w:t>Selecting every Trust Services Category</w:t>
            </w:r>
          </w:p>
        </w:tc>
        <w:tc>
          <w:tcPr>
            <w:tcW w:type="dxa" w:w="4464"/>
            <w:vAlign w:val="top"/>
            <w:tcBorders>
              <w:top w:val="single" w:sz="4" w:color="D8D2DE"/>
              <w:left w:val="single" w:sz="4" w:color="D8D2DE"/>
              <w:bottom w:val="single" w:sz="4" w:color="D8D2DE"/>
              <w:right w:val="single" w:sz="4" w:color="D8D2DE"/>
            </w:tcBorders>
          </w:tcPr>
          <w:p>
            <w:r>
              <w:rPr>
                <w:rFonts w:ascii="Aptos" w:hAnsi="Aptos"/>
                <w:sz w:val="17"/>
              </w:rPr>
              <w:t>Expands criteria/evidence/testing without a clear stakeholder need.</w:t>
            </w:r>
          </w:p>
        </w:tc>
        <w:tc>
          <w:tcPr>
            <w:tcW w:type="dxa" w:w="4032"/>
            <w:vAlign w:val="top"/>
            <w:tcBorders>
              <w:top w:val="single" w:sz="4" w:color="D8D2DE"/>
              <w:left w:val="single" w:sz="4" w:color="D8D2DE"/>
              <w:bottom w:val="single" w:sz="4" w:color="D8D2DE"/>
              <w:right w:val="single" w:sz="4" w:color="D8D2DE"/>
            </w:tcBorders>
          </w:tcPr>
          <w:p>
            <w:r>
              <w:rPr>
                <w:rFonts w:ascii="Aptos" w:hAnsi="Aptos"/>
                <w:sz w:val="17"/>
              </w:rPr>
              <w:t>Select optional categories only when the service commitments and intended examination justify them.</w:t>
            </w:r>
          </w:p>
        </w:tc>
      </w:tr>
      <w:tr>
        <w:tc>
          <w:tcPr>
            <w:tcW w:type="dxa" w:w="2448"/>
            <w:vAlign w:val="top"/>
            <w:tcBorders>
              <w:top w:val="single" w:sz="4" w:color="D8D2DE"/>
              <w:left w:val="single" w:sz="4" w:color="D8D2DE"/>
              <w:bottom w:val="single" w:sz="4" w:color="D8D2DE"/>
              <w:right w:val="single" w:sz="4" w:color="D8D2DE"/>
            </w:tcBorders>
          </w:tcPr>
          <w:p>
            <w:r>
              <w:rPr>
                <w:rFonts w:ascii="Aptos" w:hAnsi="Aptos"/>
                <w:sz w:val="17"/>
              </w:rPr>
              <w:t>Treating candidate controls as coverage</w:t>
            </w:r>
          </w:p>
        </w:tc>
        <w:tc>
          <w:tcPr>
            <w:tcW w:type="dxa" w:w="4464"/>
            <w:vAlign w:val="top"/>
            <w:tcBorders>
              <w:top w:val="single" w:sz="4" w:color="D8D2DE"/>
              <w:left w:val="single" w:sz="4" w:color="D8D2DE"/>
              <w:bottom w:val="single" w:sz="4" w:color="D8D2DE"/>
              <w:right w:val="single" w:sz="4" w:color="D8D2DE"/>
            </w:tcBorders>
          </w:tcPr>
          <w:p>
            <w:r>
              <w:rPr>
                <w:rFonts w:ascii="Aptos" w:hAnsi="Aptos"/>
                <w:sz w:val="17"/>
              </w:rPr>
              <w:t>Candidate mappings are advisory and may include controls the organisation does not operate.</w:t>
            </w:r>
          </w:p>
        </w:tc>
        <w:tc>
          <w:tcPr>
            <w:tcW w:type="dxa" w:w="4032"/>
            <w:vAlign w:val="top"/>
            <w:tcBorders>
              <w:top w:val="single" w:sz="4" w:color="D8D2DE"/>
              <w:left w:val="single" w:sz="4" w:color="D8D2DE"/>
              <w:bottom w:val="single" w:sz="4" w:color="D8D2DE"/>
              <w:right w:val="single" w:sz="4" w:color="D8D2DE"/>
            </w:tcBorders>
          </w:tcPr>
          <w:p>
            <w:r>
              <w:rPr>
                <w:rFonts w:ascii="Aptos" w:hAnsi="Aptos"/>
                <w:sz w:val="17"/>
              </w:rPr>
              <w:t>Adopt relevant controls and explicitly select them in the Coverage Plan.</w:t>
            </w:r>
          </w:p>
        </w:tc>
      </w:tr>
      <w:tr>
        <w:tc>
          <w:tcPr>
            <w:tcW w:type="dxa" w:w="2448"/>
            <w:vAlign w:val="top"/>
            <w:tcBorders>
              <w:top w:val="single" w:sz="4" w:color="D8D2DE"/>
              <w:left w:val="single" w:sz="4" w:color="D8D2DE"/>
              <w:bottom w:val="single" w:sz="4" w:color="D8D2DE"/>
              <w:right w:val="single" w:sz="4" w:color="D8D2DE"/>
            </w:tcBorders>
          </w:tcPr>
          <w:p>
            <w:r>
              <w:rPr>
                <w:rFonts w:ascii="Aptos" w:hAnsi="Aptos"/>
                <w:sz w:val="17"/>
              </w:rPr>
              <w:t>Writing a generic implementation statement</w:t>
            </w:r>
          </w:p>
        </w:tc>
        <w:tc>
          <w:tcPr>
            <w:tcW w:type="dxa" w:w="4464"/>
            <w:vAlign w:val="top"/>
            <w:tcBorders>
              <w:top w:val="single" w:sz="4" w:color="D8D2DE"/>
              <w:left w:val="single" w:sz="4" w:color="D8D2DE"/>
              <w:bottom w:val="single" w:sz="4" w:color="D8D2DE"/>
              <w:right w:val="single" w:sz="4" w:color="D8D2DE"/>
            </w:tcBorders>
          </w:tcPr>
          <w:p>
            <w:r>
              <w:rPr>
                <w:rFonts w:ascii="Aptos" w:hAnsi="Aptos"/>
                <w:sz w:val="17"/>
              </w:rPr>
              <w:t>An assessor cannot understand who does what, where, how often or with what output.</w:t>
            </w:r>
          </w:p>
        </w:tc>
        <w:tc>
          <w:tcPr>
            <w:tcW w:type="dxa" w:w="4032"/>
            <w:vAlign w:val="top"/>
            <w:tcBorders>
              <w:top w:val="single" w:sz="4" w:color="D8D2DE"/>
              <w:left w:val="single" w:sz="4" w:color="D8D2DE"/>
              <w:bottom w:val="single" w:sz="4" w:color="D8D2DE"/>
              <w:right w:val="single" w:sz="4" w:color="D8D2DE"/>
            </w:tcBorders>
          </w:tcPr>
          <w:p>
            <w:r>
              <w:rPr>
                <w:rFonts w:ascii="Aptos" w:hAnsi="Aptos"/>
                <w:sz w:val="17"/>
              </w:rPr>
              <w:t>Describe the organisation-specific operating process and systems.</w:t>
            </w:r>
          </w:p>
        </w:tc>
      </w:tr>
      <w:tr>
        <w:tc>
          <w:tcPr>
            <w:tcW w:type="dxa" w:w="2448"/>
            <w:vAlign w:val="top"/>
            <w:tcBorders>
              <w:top w:val="single" w:sz="4" w:color="D8D2DE"/>
              <w:left w:val="single" w:sz="4" w:color="D8D2DE"/>
              <w:bottom w:val="single" w:sz="4" w:color="D8D2DE"/>
              <w:right w:val="single" w:sz="4" w:color="D8D2DE"/>
            </w:tcBorders>
          </w:tcPr>
          <w:p>
            <w:r>
              <w:rPr>
                <w:rFonts w:ascii="Aptos" w:hAnsi="Aptos"/>
                <w:sz w:val="17"/>
              </w:rPr>
              <w:t>Uploading evidence with no source date</w:t>
            </w:r>
          </w:p>
        </w:tc>
        <w:tc>
          <w:tcPr>
            <w:tcW w:type="dxa" w:w="4464"/>
            <w:vAlign w:val="top"/>
            <w:tcBorders>
              <w:top w:val="single" w:sz="4" w:color="D8D2DE"/>
              <w:left w:val="single" w:sz="4" w:color="D8D2DE"/>
              <w:bottom w:val="single" w:sz="4" w:color="D8D2DE"/>
              <w:right w:val="single" w:sz="4" w:color="D8D2DE"/>
            </w:tcBorders>
          </w:tcPr>
          <w:p>
            <w:r>
              <w:rPr>
                <w:rFonts w:ascii="Aptos" w:hAnsi="Aptos"/>
                <w:sz w:val="17"/>
              </w:rPr>
              <w:t>The platform cannot reliably determine Type II period relevance.</w:t>
            </w:r>
          </w:p>
        </w:tc>
        <w:tc>
          <w:tcPr>
            <w:tcW w:type="dxa" w:w="4032"/>
            <w:vAlign w:val="top"/>
            <w:tcBorders>
              <w:top w:val="single" w:sz="4" w:color="D8D2DE"/>
              <w:left w:val="single" w:sz="4" w:color="D8D2DE"/>
              <w:bottom w:val="single" w:sz="4" w:color="D8D2DE"/>
              <w:right w:val="single" w:sz="4" w:color="D8D2DE"/>
            </w:tcBorders>
          </w:tcPr>
          <w:p>
            <w:r>
              <w:rPr>
                <w:rFonts w:ascii="Aptos" w:hAnsi="Aptos"/>
                <w:sz w:val="17"/>
              </w:rPr>
              <w:t>Record the underlying event/source timestamp or validity interval.</w:t>
            </w:r>
          </w:p>
        </w:tc>
      </w:tr>
      <w:tr>
        <w:tc>
          <w:tcPr>
            <w:tcW w:type="dxa" w:w="2448"/>
            <w:vAlign w:val="top"/>
            <w:tcBorders>
              <w:top w:val="single" w:sz="4" w:color="D8D2DE"/>
              <w:left w:val="single" w:sz="4" w:color="D8D2DE"/>
              <w:bottom w:val="single" w:sz="4" w:color="D8D2DE"/>
              <w:right w:val="single" w:sz="4" w:color="D8D2DE"/>
            </w:tcBorders>
          </w:tcPr>
          <w:p>
            <w:r>
              <w:rPr>
                <w:rFonts w:ascii="Aptos" w:hAnsi="Aptos"/>
                <w:sz w:val="17"/>
              </w:rPr>
              <w:t>Using upload date as proof of operation</w:t>
            </w:r>
          </w:p>
        </w:tc>
        <w:tc>
          <w:tcPr>
            <w:tcW w:type="dxa" w:w="4464"/>
            <w:vAlign w:val="top"/>
            <w:tcBorders>
              <w:top w:val="single" w:sz="4" w:color="D8D2DE"/>
              <w:left w:val="single" w:sz="4" w:color="D8D2DE"/>
              <w:bottom w:val="single" w:sz="4" w:color="D8D2DE"/>
              <w:right w:val="single" w:sz="4" w:color="D8D2DE"/>
            </w:tcBorders>
          </w:tcPr>
          <w:p>
            <w:r>
              <w:rPr>
                <w:rFonts w:ascii="Aptos" w:hAnsi="Aptos"/>
                <w:sz w:val="17"/>
              </w:rPr>
              <w:t>A file uploaded today may describe an event months earlier or later.</w:t>
            </w:r>
          </w:p>
        </w:tc>
        <w:tc>
          <w:tcPr>
            <w:tcW w:type="dxa" w:w="4032"/>
            <w:vAlign w:val="top"/>
            <w:tcBorders>
              <w:top w:val="single" w:sz="4" w:color="D8D2DE"/>
              <w:left w:val="single" w:sz="4" w:color="D8D2DE"/>
              <w:bottom w:val="single" w:sz="4" w:color="D8D2DE"/>
              <w:right w:val="single" w:sz="4" w:color="D8D2DE"/>
            </w:tcBorders>
          </w:tcPr>
          <w:p>
            <w:r>
              <w:rPr>
                <w:rFonts w:ascii="Aptos" w:hAnsi="Aptos"/>
                <w:sz w:val="17"/>
              </w:rPr>
              <w:t>Use evidence/source time and link purpose.</w:t>
            </w:r>
          </w:p>
        </w:tc>
      </w:tr>
      <w:tr>
        <w:tc>
          <w:tcPr>
            <w:tcW w:type="dxa" w:w="2448"/>
            <w:vAlign w:val="top"/>
            <w:tcBorders>
              <w:top w:val="single" w:sz="4" w:color="D8D2DE"/>
              <w:left w:val="single" w:sz="4" w:color="D8D2DE"/>
              <w:bottom w:val="single" w:sz="4" w:color="D8D2DE"/>
              <w:right w:val="single" w:sz="4" w:color="D8D2DE"/>
            </w:tcBorders>
          </w:tcPr>
          <w:p>
            <w:r>
              <w:rPr>
                <w:rFonts w:ascii="Aptos" w:hAnsi="Aptos"/>
                <w:sz w:val="17"/>
              </w:rPr>
              <w:t>Recording a test today for an old run but using today as execution time</w:t>
            </w:r>
          </w:p>
        </w:tc>
        <w:tc>
          <w:tcPr>
            <w:tcW w:type="dxa" w:w="4464"/>
            <w:vAlign w:val="top"/>
            <w:tcBorders>
              <w:top w:val="single" w:sz="4" w:color="D8D2DE"/>
              <w:left w:val="single" w:sz="4" w:color="D8D2DE"/>
              <w:bottom w:val="single" w:sz="4" w:color="D8D2DE"/>
              <w:right w:val="single" w:sz="4" w:color="D8D2DE"/>
            </w:tcBorders>
          </w:tcPr>
          <w:p>
            <w:r>
              <w:rPr>
                <w:rFonts w:ascii="Aptos" w:hAnsi="Aptos"/>
                <w:sz w:val="17"/>
              </w:rPr>
              <w:t>Makes the run appear to have occurred in the wrong period.</w:t>
            </w:r>
          </w:p>
        </w:tc>
        <w:tc>
          <w:tcPr>
            <w:tcW w:type="dxa" w:w="4032"/>
            <w:vAlign w:val="top"/>
            <w:tcBorders>
              <w:top w:val="single" w:sz="4" w:color="D8D2DE"/>
              <w:left w:val="single" w:sz="4" w:color="D8D2DE"/>
              <w:bottom w:val="single" w:sz="4" w:color="D8D2DE"/>
              <w:right w:val="single" w:sz="4" w:color="D8D2DE"/>
            </w:tcBorders>
          </w:tcPr>
          <w:p>
            <w:r>
              <w:rPr>
                <w:rFonts w:ascii="Aptos" w:hAnsi="Aptos"/>
                <w:sz w:val="17"/>
              </w:rPr>
              <w:t>Record the actual completed/execution timestamp.</w:t>
            </w:r>
          </w:p>
        </w:tc>
      </w:tr>
      <w:tr>
        <w:tc>
          <w:tcPr>
            <w:tcW w:type="dxa" w:w="2448"/>
            <w:vAlign w:val="top"/>
            <w:tcBorders>
              <w:top w:val="single" w:sz="4" w:color="D8D2DE"/>
              <w:left w:val="single" w:sz="4" w:color="D8D2DE"/>
              <w:bottom w:val="single" w:sz="4" w:color="D8D2DE"/>
              <w:right w:val="single" w:sz="4" w:color="D8D2DE"/>
            </w:tcBorders>
          </w:tcPr>
          <w:p>
            <w:r>
              <w:rPr>
                <w:rFonts w:ascii="Aptos" w:hAnsi="Aptos"/>
                <w:sz w:val="17"/>
              </w:rPr>
              <w:t>Deleting failed history</w:t>
            </w:r>
          </w:p>
        </w:tc>
        <w:tc>
          <w:tcPr>
            <w:tcW w:type="dxa" w:w="4464"/>
            <w:vAlign w:val="top"/>
            <w:tcBorders>
              <w:top w:val="single" w:sz="4" w:color="D8D2DE"/>
              <w:left w:val="single" w:sz="4" w:color="D8D2DE"/>
              <w:bottom w:val="single" w:sz="4" w:color="D8D2DE"/>
              <w:right w:val="single" w:sz="4" w:color="D8D2DE"/>
            </w:tcBorders>
          </w:tcPr>
          <w:p>
            <w:r>
              <w:rPr>
                <w:rFonts w:ascii="Aptos" w:hAnsi="Aptos"/>
                <w:sz w:val="17"/>
              </w:rPr>
              <w:t>Removes the factual trail an auditor may expect to understand.</w:t>
            </w:r>
          </w:p>
        </w:tc>
        <w:tc>
          <w:tcPr>
            <w:tcW w:type="dxa" w:w="4032"/>
            <w:vAlign w:val="top"/>
            <w:tcBorders>
              <w:top w:val="single" w:sz="4" w:color="D8D2DE"/>
              <w:left w:val="single" w:sz="4" w:color="D8D2DE"/>
              <w:bottom w:val="single" w:sz="4" w:color="D8D2DE"/>
              <w:right w:val="single" w:sz="4" w:color="D8D2DE"/>
            </w:tcBorders>
          </w:tcPr>
          <w:p>
            <w:r>
              <w:rPr>
                <w:rFonts w:ascii="Aptos" w:hAnsi="Aptos"/>
                <w:sz w:val="17"/>
              </w:rPr>
              <w:t>Preserve run/issue history and document remediation/retest.</w:t>
            </w:r>
          </w:p>
        </w:tc>
      </w:tr>
      <w:tr>
        <w:tc>
          <w:tcPr>
            <w:tcW w:type="dxa" w:w="2448"/>
            <w:vAlign w:val="top"/>
            <w:tcBorders>
              <w:top w:val="single" w:sz="4" w:color="D8D2DE"/>
              <w:left w:val="single" w:sz="4" w:color="D8D2DE"/>
              <w:bottom w:val="single" w:sz="4" w:color="D8D2DE"/>
              <w:right w:val="single" w:sz="4" w:color="D8D2DE"/>
            </w:tcBorders>
          </w:tcPr>
          <w:p>
            <w:r>
              <w:rPr>
                <w:rFonts w:ascii="Aptos" w:hAnsi="Aptos"/>
                <w:sz w:val="17"/>
              </w:rPr>
              <w:t>Leaving exceptions open-ended</w:t>
            </w:r>
          </w:p>
        </w:tc>
        <w:tc>
          <w:tcPr>
            <w:tcW w:type="dxa" w:w="4464"/>
            <w:vAlign w:val="top"/>
            <w:tcBorders>
              <w:top w:val="single" w:sz="4" w:color="D8D2DE"/>
              <w:left w:val="single" w:sz="4" w:color="D8D2DE"/>
              <w:bottom w:val="single" w:sz="4" w:color="D8D2DE"/>
              <w:right w:val="single" w:sz="4" w:color="D8D2DE"/>
            </w:tcBorders>
          </w:tcPr>
          <w:p>
            <w:r>
              <w:rPr>
                <w:rFonts w:ascii="Aptos" w:hAnsi="Aptos"/>
                <w:sz w:val="17"/>
              </w:rPr>
              <w:t>An exception without expiry/review becomes a permanent bypass.</w:t>
            </w:r>
          </w:p>
        </w:tc>
        <w:tc>
          <w:tcPr>
            <w:tcW w:type="dxa" w:w="4032"/>
            <w:vAlign w:val="top"/>
            <w:tcBorders>
              <w:top w:val="single" w:sz="4" w:color="D8D2DE"/>
              <w:left w:val="single" w:sz="4" w:color="D8D2DE"/>
              <w:bottom w:val="single" w:sz="4" w:color="D8D2DE"/>
              <w:right w:val="single" w:sz="4" w:color="D8D2DE"/>
            </w:tcBorders>
          </w:tcPr>
          <w:p>
            <w:r>
              <w:rPr>
                <w:rFonts w:ascii="Aptos" w:hAnsi="Aptos"/>
                <w:sz w:val="17"/>
              </w:rPr>
              <w:t>Define validity, next review, related risk and compensating safeguard.</w:t>
            </w:r>
          </w:p>
        </w:tc>
      </w:tr>
      <w:tr>
        <w:tc>
          <w:tcPr>
            <w:tcW w:type="dxa" w:w="2448"/>
            <w:vAlign w:val="top"/>
            <w:tcBorders>
              <w:top w:val="single" w:sz="4" w:color="D8D2DE"/>
              <w:left w:val="single" w:sz="4" w:color="D8D2DE"/>
              <w:bottom w:val="single" w:sz="4" w:color="D8D2DE"/>
              <w:right w:val="single" w:sz="4" w:color="D8D2DE"/>
            </w:tcBorders>
          </w:tcPr>
          <w:p>
            <w:r>
              <w:rPr>
                <w:rFonts w:ascii="Aptos" w:hAnsi="Aptos"/>
                <w:sz w:val="17"/>
              </w:rPr>
              <w:t>Forcing Ready despite blockers</w:t>
            </w:r>
          </w:p>
        </w:tc>
        <w:tc>
          <w:tcPr>
            <w:tcW w:type="dxa" w:w="4464"/>
            <w:vAlign w:val="top"/>
            <w:tcBorders>
              <w:top w:val="single" w:sz="4" w:color="D8D2DE"/>
              <w:left w:val="single" w:sz="4" w:color="D8D2DE"/>
              <w:bottom w:val="single" w:sz="4" w:color="D8D2DE"/>
              <w:right w:val="single" w:sz="4" w:color="D8D2DE"/>
            </w:tcBorders>
          </w:tcPr>
          <w:p>
            <w:r>
              <w:rPr>
                <w:rFonts w:ascii="Aptos" w:hAnsi="Aptos"/>
                <w:sz w:val="17"/>
              </w:rPr>
              <w:t>Creates a management conclusion that contradicts underlying state; hard blockers may also be write-blocked.</w:t>
            </w:r>
          </w:p>
        </w:tc>
        <w:tc>
          <w:tcPr>
            <w:tcW w:type="dxa" w:w="4032"/>
            <w:vAlign w:val="top"/>
            <w:tcBorders>
              <w:top w:val="single" w:sz="4" w:color="D8D2DE"/>
              <w:left w:val="single" w:sz="4" w:color="D8D2DE"/>
              <w:bottom w:val="single" w:sz="4" w:color="D8D2DE"/>
              <w:right w:val="single" w:sz="4" w:color="D8D2DE"/>
            </w:tcBorders>
          </w:tcPr>
          <w:p>
            <w:r>
              <w:rPr>
                <w:rFonts w:ascii="Aptos" w:hAnsi="Aptos"/>
                <w:sz w:val="17"/>
              </w:rPr>
              <w:t>Resolve the blocker or record Not Ready/Review Required/Conditional with defensible conditions.</w:t>
            </w:r>
          </w:p>
        </w:tc>
      </w:tr>
      <w:tr>
        <w:tc>
          <w:tcPr>
            <w:tcW w:type="dxa" w:w="2448"/>
            <w:vAlign w:val="top"/>
            <w:tcBorders>
              <w:top w:val="single" w:sz="4" w:color="D8D2DE"/>
              <w:left w:val="single" w:sz="4" w:color="D8D2DE"/>
              <w:bottom w:val="single" w:sz="4" w:color="D8D2DE"/>
              <w:right w:val="single" w:sz="4" w:color="D8D2DE"/>
            </w:tcBorders>
          </w:tcPr>
          <w:p>
            <w:r>
              <w:rPr>
                <w:rFonts w:ascii="Aptos" w:hAnsi="Aptos"/>
                <w:sz w:val="17"/>
              </w:rPr>
              <w:t>Changing fundamental scope silently</w:t>
            </w:r>
          </w:p>
        </w:tc>
        <w:tc>
          <w:tcPr>
            <w:tcW w:type="dxa" w:w="4464"/>
            <w:vAlign w:val="top"/>
            <w:tcBorders>
              <w:top w:val="single" w:sz="4" w:color="D8D2DE"/>
              <w:left w:val="single" w:sz="4" w:color="D8D2DE"/>
              <w:bottom w:val="single" w:sz="4" w:color="D8D2DE"/>
              <w:right w:val="single" w:sz="4" w:color="D8D2DE"/>
            </w:tcBorders>
          </w:tcPr>
          <w:p>
            <w:r>
              <w:rPr>
                <w:rFonts w:ascii="Aptos" w:hAnsi="Aptos"/>
                <w:sz w:val="17"/>
              </w:rPr>
              <w:t>Breaks the relationship between the confirmed snapshot and later control/evidence conclusions.</w:t>
            </w:r>
          </w:p>
        </w:tc>
        <w:tc>
          <w:tcPr>
            <w:tcW w:type="dxa" w:w="4032"/>
            <w:vAlign w:val="top"/>
            <w:tcBorders>
              <w:top w:val="single" w:sz="4" w:color="D8D2DE"/>
              <w:left w:val="single" w:sz="4" w:color="D8D2DE"/>
              <w:bottom w:val="single" w:sz="4" w:color="D8D2DE"/>
              <w:right w:val="single" w:sz="4" w:color="D8D2DE"/>
            </w:tcBorders>
          </w:tcPr>
          <w:p>
            <w:r>
              <w:rPr>
                <w:rFonts w:ascii="Aptos" w:hAnsi="Aptos"/>
                <w:sz w:val="17"/>
              </w:rPr>
              <w:t>Treat material scope changes as a deliberate configuration update/new snapshot and align with the service auditor.</w:t>
            </w:r>
          </w:p>
        </w:tc>
      </w:tr>
    </w:tbl>
    <w:p>
      <w:pPr>
        <w:spacing w:after="20"/>
      </w:pPr>
    </w:p>
    <w:p>
      <w:r>
        <w:br w:type="page"/>
      </w:r>
    </w:p>
    <w:p>
      <w:pPr>
        <w:pStyle w:val="Heading1"/>
      </w:pPr>
      <w:r>
        <w:rPr>
          <w:rFonts w:ascii="Aptos" w:hAnsi="Aptos"/>
          <w:b/>
          <w:color w:val="4B0983"/>
          <w:sz w:val="38"/>
        </w:rPr>
        <w:t>26. Troubleshooting and interpretation guide</w:t>
      </w:r>
    </w:p>
    <w:tbl>
      <w:tblPr>
        <w:tblStyle w:val="TableGrid"/>
        <w:tblW w:type="auto" w:w="0"/>
        <w:jc w:val="center"/>
        <w:tblLook w:firstColumn="1" w:firstRow="1" w:lastColumn="0" w:lastRow="0" w:noHBand="0" w:noVBand="1" w:val="04A0"/>
      </w:tblPr>
      <w:tblGrid>
        <w:gridCol w:w="3331"/>
        <w:gridCol w:w="3331"/>
        <w:gridCol w:w="3331"/>
      </w:tblGrid>
      <w:tr>
        <w:tc>
          <w:tcPr>
            <w:tcW w:type="dxa" w:w="3024"/>
            <w:shd w:fill="4B0983"/>
            <w:vAlign w:val="center"/>
          </w:tcPr>
          <w:p>
            <w:pPr>
              <w:jc w:val="left"/>
            </w:pPr>
            <w:r>
              <w:rPr>
                <w:rFonts w:ascii="Aptos" w:hAnsi="Aptos"/>
                <w:b/>
                <w:color w:val="FFFFFF"/>
                <w:sz w:val="17"/>
              </w:rPr>
              <w:t>Symptom</w:t>
            </w:r>
          </w:p>
        </w:tc>
        <w:tc>
          <w:tcPr>
            <w:tcW w:type="dxa" w:w="4032"/>
            <w:shd w:fill="4B0983"/>
            <w:vAlign w:val="center"/>
          </w:tcPr>
          <w:p>
            <w:pPr>
              <w:jc w:val="left"/>
            </w:pPr>
            <w:r>
              <w:rPr>
                <w:rFonts w:ascii="Aptos" w:hAnsi="Aptos"/>
                <w:b/>
                <w:color w:val="FFFFFF"/>
                <w:sz w:val="17"/>
              </w:rPr>
              <w:t>Likely reason</w:t>
            </w:r>
          </w:p>
        </w:tc>
        <w:tc>
          <w:tcPr>
            <w:tcW w:type="dxa" w:w="3888"/>
            <w:shd w:fill="4B0983"/>
            <w:vAlign w:val="center"/>
          </w:tcPr>
          <w:p>
            <w:pPr>
              <w:jc w:val="left"/>
            </w:pPr>
            <w:r>
              <w:rPr>
                <w:rFonts w:ascii="Aptos" w:hAnsi="Aptos"/>
                <w:b/>
                <w:color w:val="FFFFFF"/>
                <w:sz w:val="17"/>
              </w:rPr>
              <w:t>What to do</w:t>
            </w:r>
          </w:p>
        </w:tc>
      </w:tr>
      <w:tr>
        <w:tc>
          <w:tcPr>
            <w:tcW w:type="dxa" w:w="3024"/>
            <w:vAlign w:val="top"/>
            <w:tcBorders>
              <w:top w:val="single" w:sz="4" w:color="D8D2DE"/>
              <w:left w:val="single" w:sz="4" w:color="D8D2DE"/>
              <w:bottom w:val="single" w:sz="4" w:color="D8D2DE"/>
              <w:right w:val="single" w:sz="4" w:color="D8D2DE"/>
            </w:tcBorders>
          </w:tcPr>
          <w:p>
            <w:r>
              <w:rPr>
                <w:rFonts w:ascii="Aptos" w:hAnsi="Aptos"/>
                <w:sz w:val="17"/>
              </w:rPr>
              <w:t>Dashboard says no confirmed engagement</w:t>
            </w:r>
          </w:p>
        </w:tc>
        <w:tc>
          <w:tcPr>
            <w:tcW w:type="dxa" w:w="4032"/>
            <w:vAlign w:val="top"/>
            <w:tcBorders>
              <w:top w:val="single" w:sz="4" w:color="D8D2DE"/>
              <w:left w:val="single" w:sz="4" w:color="D8D2DE"/>
              <w:bottom w:val="single" w:sz="4" w:color="D8D2DE"/>
              <w:right w:val="single" w:sz="4" w:color="D8D2DE"/>
            </w:tcBorders>
          </w:tcPr>
          <w:p>
            <w:r>
              <w:rPr>
                <w:rFonts w:ascii="Aptos" w:hAnsi="Aptos"/>
                <w:sz w:val="17"/>
              </w:rPr>
              <w:t>Setup has not been confirmed.</w:t>
            </w:r>
          </w:p>
        </w:tc>
        <w:tc>
          <w:tcPr>
            <w:tcW w:type="dxa" w:w="3888"/>
            <w:vAlign w:val="top"/>
            <w:tcBorders>
              <w:top w:val="single" w:sz="4" w:color="D8D2DE"/>
              <w:left w:val="single" w:sz="4" w:color="D8D2DE"/>
              <w:bottom w:val="single" w:sz="4" w:color="D8D2DE"/>
              <w:right w:val="single" w:sz="4" w:color="D8D2DE"/>
            </w:tcBorders>
          </w:tcPr>
          <w:p>
            <w:r>
              <w:rPr>
                <w:rFonts w:ascii="Aptos" w:hAnsi="Aptos"/>
                <w:sz w:val="17"/>
              </w:rPr>
              <w:t>Run the four-step Scope Setup workflow and pass the final validation gate.</w:t>
            </w:r>
          </w:p>
        </w:tc>
      </w:tr>
      <w:tr>
        <w:tc>
          <w:tcPr>
            <w:tcW w:type="dxa" w:w="3024"/>
            <w:vAlign w:val="top"/>
            <w:tcBorders>
              <w:top w:val="single" w:sz="4" w:color="D8D2DE"/>
              <w:left w:val="single" w:sz="4" w:color="D8D2DE"/>
              <w:bottom w:val="single" w:sz="4" w:color="D8D2DE"/>
              <w:right w:val="single" w:sz="4" w:color="D8D2DE"/>
            </w:tcBorders>
          </w:tcPr>
          <w:p>
            <w:r>
              <w:rPr>
                <w:rFonts w:ascii="Aptos" w:hAnsi="Aptos"/>
                <w:sz w:val="17"/>
              </w:rPr>
              <w:t>Cannot confirm Step 4</w:t>
            </w:r>
          </w:p>
        </w:tc>
        <w:tc>
          <w:tcPr>
            <w:tcW w:type="dxa" w:w="4032"/>
            <w:vAlign w:val="top"/>
            <w:tcBorders>
              <w:top w:val="single" w:sz="4" w:color="D8D2DE"/>
              <w:left w:val="single" w:sz="4" w:color="D8D2DE"/>
              <w:bottom w:val="single" w:sz="4" w:color="D8D2DE"/>
              <w:right w:val="single" w:sz="4" w:color="D8D2DE"/>
            </w:tcBorders>
          </w:tcPr>
          <w:p>
            <w:r>
              <w:rPr>
                <w:rFonts w:ascii="Aptos" w:hAnsi="Aptos"/>
                <w:sz w:val="17"/>
              </w:rPr>
              <w:t>Blocking/review scope gaps, incomplete Step 3 fields, undecided CUECs/subservice treatment, invalid dates or missing rationale.</w:t>
            </w:r>
          </w:p>
        </w:tc>
        <w:tc>
          <w:tcPr>
            <w:tcW w:type="dxa" w:w="3888"/>
            <w:vAlign w:val="top"/>
            <w:tcBorders>
              <w:top w:val="single" w:sz="4" w:color="D8D2DE"/>
              <w:left w:val="single" w:sz="4" w:color="D8D2DE"/>
              <w:bottom w:val="single" w:sz="4" w:color="D8D2DE"/>
              <w:right w:val="single" w:sz="4" w:color="D8D2DE"/>
            </w:tcBorders>
          </w:tcPr>
          <w:p>
            <w:r>
              <w:rPr>
                <w:rFonts w:ascii="Aptos" w:hAnsi="Aptos"/>
                <w:sz w:val="17"/>
              </w:rPr>
              <w:t>Return to the section named in the validation message; do not bypass it.</w:t>
            </w:r>
          </w:p>
        </w:tc>
      </w:tr>
      <w:tr>
        <w:tc>
          <w:tcPr>
            <w:tcW w:type="dxa" w:w="3024"/>
            <w:vAlign w:val="top"/>
            <w:tcBorders>
              <w:top w:val="single" w:sz="4" w:color="D8D2DE"/>
              <w:left w:val="single" w:sz="4" w:color="D8D2DE"/>
              <w:bottom w:val="single" w:sz="4" w:color="D8D2DE"/>
              <w:right w:val="single" w:sz="4" w:color="D8D2DE"/>
            </w:tcBorders>
          </w:tcPr>
          <w:p>
            <w:r>
              <w:rPr>
                <w:rFonts w:ascii="Aptos" w:hAnsi="Aptos"/>
                <w:sz w:val="17"/>
              </w:rPr>
              <w:t>Control appears as candidate but cannot be selected</w:t>
            </w:r>
          </w:p>
        </w:tc>
        <w:tc>
          <w:tcPr>
            <w:tcW w:type="dxa" w:w="4032"/>
            <w:vAlign w:val="top"/>
            <w:tcBorders>
              <w:top w:val="single" w:sz="4" w:color="D8D2DE"/>
              <w:left w:val="single" w:sz="4" w:color="D8D2DE"/>
              <w:bottom w:val="single" w:sz="4" w:color="D8D2DE"/>
              <w:right w:val="single" w:sz="4" w:color="D8D2DE"/>
            </w:tcBorders>
          </w:tcPr>
          <w:p>
            <w:r>
              <w:rPr>
                <w:rFonts w:ascii="Aptos" w:hAnsi="Aptos"/>
                <w:sz w:val="17"/>
              </w:rPr>
              <w:t>It has not been adopted into Control Management.</w:t>
            </w:r>
          </w:p>
        </w:tc>
        <w:tc>
          <w:tcPr>
            <w:tcW w:type="dxa" w:w="3888"/>
            <w:vAlign w:val="top"/>
            <w:tcBorders>
              <w:top w:val="single" w:sz="4" w:color="D8D2DE"/>
              <w:left w:val="single" w:sz="4" w:color="D8D2DE"/>
              <w:bottom w:val="single" w:sz="4" w:color="D8D2DE"/>
              <w:right w:val="single" w:sz="4" w:color="D8D2DE"/>
            </w:tcBorders>
          </w:tcPr>
          <w:p>
            <w:r>
              <w:rPr>
                <w:rFonts w:ascii="Aptos" w:hAnsi="Aptos"/>
                <w:sz w:val="17"/>
              </w:rPr>
              <w:t>Open Review / adopt, complete adoption, then return to Coverage Plan.</w:t>
            </w:r>
          </w:p>
        </w:tc>
      </w:tr>
      <w:tr>
        <w:tc>
          <w:tcPr>
            <w:tcW w:type="dxa" w:w="3024"/>
            <w:vAlign w:val="top"/>
            <w:tcBorders>
              <w:top w:val="single" w:sz="4" w:color="D8D2DE"/>
              <w:left w:val="single" w:sz="4" w:color="D8D2DE"/>
              <w:bottom w:val="single" w:sz="4" w:color="D8D2DE"/>
              <w:right w:val="single" w:sz="4" w:color="D8D2DE"/>
            </w:tcBorders>
          </w:tcPr>
          <w:p>
            <w:r>
              <w:rPr>
                <w:rFonts w:ascii="Aptos" w:hAnsi="Aptos"/>
                <w:sz w:val="17"/>
              </w:rPr>
              <w:t>Cannot mark selected control Not Applicable</w:t>
            </w:r>
          </w:p>
        </w:tc>
        <w:tc>
          <w:tcPr>
            <w:tcW w:type="dxa" w:w="4032"/>
            <w:vAlign w:val="top"/>
            <w:tcBorders>
              <w:top w:val="single" w:sz="4" w:color="D8D2DE"/>
              <w:left w:val="single" w:sz="4" w:color="D8D2DE"/>
              <w:bottom w:val="single" w:sz="4" w:color="D8D2DE"/>
              <w:right w:val="single" w:sz="4" w:color="D8D2DE"/>
            </w:tcBorders>
          </w:tcPr>
          <w:p>
            <w:r>
              <w:rPr>
                <w:rFonts w:ascii="Aptos" w:hAnsi="Aptos"/>
                <w:sz w:val="17"/>
              </w:rPr>
              <w:t>PurpleWASP blocks Not Applicable while the control is selected for SOC 2 coverage.</w:t>
            </w:r>
          </w:p>
        </w:tc>
        <w:tc>
          <w:tcPr>
            <w:tcW w:type="dxa" w:w="3888"/>
            <w:vAlign w:val="top"/>
            <w:tcBorders>
              <w:top w:val="single" w:sz="4" w:color="D8D2DE"/>
              <w:left w:val="single" w:sz="4" w:color="D8D2DE"/>
              <w:bottom w:val="single" w:sz="4" w:color="D8D2DE"/>
              <w:right w:val="single" w:sz="4" w:color="D8D2DE"/>
            </w:tcBorders>
          </w:tcPr>
          <w:p>
            <w:r>
              <w:rPr>
                <w:rFonts w:ascii="Aptos" w:hAnsi="Aptos"/>
                <w:sz w:val="17"/>
              </w:rPr>
              <w:t>Remove/clear the coverage selection first if Not Applicable is genuinely correct.</w:t>
            </w:r>
          </w:p>
        </w:tc>
      </w:tr>
      <w:tr>
        <w:tc>
          <w:tcPr>
            <w:tcW w:type="dxa" w:w="3024"/>
            <w:vAlign w:val="top"/>
            <w:tcBorders>
              <w:top w:val="single" w:sz="4" w:color="D8D2DE"/>
              <w:left w:val="single" w:sz="4" w:color="D8D2DE"/>
              <w:bottom w:val="single" w:sz="4" w:color="D8D2DE"/>
              <w:right w:val="single" w:sz="4" w:color="D8D2DE"/>
            </w:tcBorders>
          </w:tcPr>
          <w:p>
            <w:r>
              <w:rPr>
                <w:rFonts w:ascii="Aptos" w:hAnsi="Aptos"/>
                <w:sz w:val="17"/>
              </w:rPr>
              <w:t>Operational Readiness shows no selected controls</w:t>
            </w:r>
          </w:p>
        </w:tc>
        <w:tc>
          <w:tcPr>
            <w:tcW w:type="dxa" w:w="4032"/>
            <w:vAlign w:val="top"/>
            <w:tcBorders>
              <w:top w:val="single" w:sz="4" w:color="D8D2DE"/>
              <w:left w:val="single" w:sz="4" w:color="D8D2DE"/>
              <w:bottom w:val="single" w:sz="4" w:color="D8D2DE"/>
              <w:right w:val="single" w:sz="4" w:color="D8D2DE"/>
            </w:tcBorders>
          </w:tcPr>
          <w:p>
            <w:r>
              <w:rPr>
                <w:rFonts w:ascii="Aptos" w:hAnsi="Aptos"/>
                <w:sz w:val="17"/>
              </w:rPr>
              <w:t>Coverage plan has not selected organisation controls.</w:t>
            </w:r>
          </w:p>
        </w:tc>
        <w:tc>
          <w:tcPr>
            <w:tcW w:type="dxa" w:w="3888"/>
            <w:vAlign w:val="top"/>
            <w:tcBorders>
              <w:top w:val="single" w:sz="4" w:color="D8D2DE"/>
              <w:left w:val="single" w:sz="4" w:color="D8D2DE"/>
              <w:bottom w:val="single" w:sz="4" w:color="D8D2DE"/>
              <w:right w:val="single" w:sz="4" w:color="D8D2DE"/>
            </w:tcBorders>
          </w:tcPr>
          <w:p>
            <w:r>
              <w:rPr>
                <w:rFonts w:ascii="Aptos" w:hAnsi="Aptos"/>
                <w:sz w:val="17"/>
              </w:rPr>
              <w:t>Complete Control Coverage Plan; candidate mappings alone are not counted.</w:t>
            </w:r>
          </w:p>
        </w:tc>
      </w:tr>
      <w:tr>
        <w:tc>
          <w:tcPr>
            <w:tcW w:type="dxa" w:w="3024"/>
            <w:vAlign w:val="top"/>
            <w:tcBorders>
              <w:top w:val="single" w:sz="4" w:color="D8D2DE"/>
              <w:left w:val="single" w:sz="4" w:color="D8D2DE"/>
              <w:bottom w:val="single" w:sz="4" w:color="D8D2DE"/>
              <w:right w:val="single" w:sz="4" w:color="D8D2DE"/>
            </w:tcBorders>
          </w:tcPr>
          <w:p>
            <w:r>
              <w:rPr>
                <w:rFonts w:ascii="Aptos" w:hAnsi="Aptos"/>
                <w:sz w:val="17"/>
              </w:rPr>
              <w:t>Evidence is Period relevant (historical)</w:t>
            </w:r>
          </w:p>
        </w:tc>
        <w:tc>
          <w:tcPr>
            <w:tcW w:type="dxa" w:w="4032"/>
            <w:vAlign w:val="top"/>
            <w:tcBorders>
              <w:top w:val="single" w:sz="4" w:color="D8D2DE"/>
              <w:left w:val="single" w:sz="4" w:color="D8D2DE"/>
              <w:bottom w:val="single" w:sz="4" w:color="D8D2DE"/>
              <w:right w:val="single" w:sz="4" w:color="D8D2DE"/>
            </w:tcBorders>
          </w:tcPr>
          <w:p>
            <w:r>
              <w:rPr>
                <w:rFonts w:ascii="Aptos" w:hAnsi="Aptos"/>
                <w:sz w:val="17"/>
              </w:rPr>
              <w:t>The item overlaps the period but is no longer current.</w:t>
            </w:r>
          </w:p>
        </w:tc>
        <w:tc>
          <w:tcPr>
            <w:tcW w:type="dxa" w:w="3888"/>
            <w:vAlign w:val="top"/>
            <w:tcBorders>
              <w:top w:val="single" w:sz="4" w:color="D8D2DE"/>
              <w:left w:val="single" w:sz="4" w:color="D8D2DE"/>
              <w:bottom w:val="single" w:sz="4" w:color="D8D2DE"/>
              <w:right w:val="single" w:sz="4" w:color="D8D2DE"/>
            </w:tcBorders>
          </w:tcPr>
          <w:p>
            <w:r>
              <w:rPr>
                <w:rFonts w:ascii="Aptos" w:hAnsi="Aptos"/>
                <w:sz w:val="17"/>
              </w:rPr>
              <w:t>Keep it for history, and link current support where the control requires current evidence.</w:t>
            </w:r>
          </w:p>
        </w:tc>
      </w:tr>
      <w:tr>
        <w:tc>
          <w:tcPr>
            <w:tcW w:type="dxa" w:w="3024"/>
            <w:vAlign w:val="top"/>
            <w:tcBorders>
              <w:top w:val="single" w:sz="4" w:color="D8D2DE"/>
              <w:left w:val="single" w:sz="4" w:color="D8D2DE"/>
              <w:bottom w:val="single" w:sz="4" w:color="D8D2DE"/>
              <w:right w:val="single" w:sz="4" w:color="D8D2DE"/>
            </w:tcBorders>
          </w:tcPr>
          <w:p>
            <w:r>
              <w:rPr>
                <w:rFonts w:ascii="Aptos" w:hAnsi="Aptos"/>
                <w:sz w:val="17"/>
              </w:rPr>
              <w:t>Evidence says Temporal basis unknown</w:t>
            </w:r>
          </w:p>
        </w:tc>
        <w:tc>
          <w:tcPr>
            <w:tcW w:type="dxa" w:w="4032"/>
            <w:vAlign w:val="top"/>
            <w:tcBorders>
              <w:top w:val="single" w:sz="4" w:color="D8D2DE"/>
              <w:left w:val="single" w:sz="4" w:color="D8D2DE"/>
              <w:bottom w:val="single" w:sz="4" w:color="D8D2DE"/>
              <w:right w:val="single" w:sz="4" w:color="D8D2DE"/>
            </w:tcBorders>
          </w:tcPr>
          <w:p>
            <w:r>
              <w:rPr>
                <w:rFonts w:ascii="Aptos" w:hAnsi="Aptos"/>
                <w:sz w:val="17"/>
              </w:rPr>
              <w:t>Source timestamp/validity is missing.</w:t>
            </w:r>
          </w:p>
        </w:tc>
        <w:tc>
          <w:tcPr>
            <w:tcW w:type="dxa" w:w="3888"/>
            <w:vAlign w:val="top"/>
            <w:tcBorders>
              <w:top w:val="single" w:sz="4" w:color="D8D2DE"/>
              <w:left w:val="single" w:sz="4" w:color="D8D2DE"/>
              <w:bottom w:val="single" w:sz="4" w:color="D8D2DE"/>
              <w:right w:val="single" w:sz="4" w:color="D8D2DE"/>
            </w:tcBorders>
          </w:tcPr>
          <w:p>
            <w:r>
              <w:rPr>
                <w:rFonts w:ascii="Aptos" w:hAnsi="Aptos"/>
                <w:sz w:val="17"/>
              </w:rPr>
              <w:t>Correct the evidence metadata; do not rely on upload time.</w:t>
            </w:r>
          </w:p>
        </w:tc>
      </w:tr>
      <w:tr>
        <w:tc>
          <w:tcPr>
            <w:tcW w:type="dxa" w:w="3024"/>
            <w:vAlign w:val="top"/>
            <w:tcBorders>
              <w:top w:val="single" w:sz="4" w:color="D8D2DE"/>
              <w:left w:val="single" w:sz="4" w:color="D8D2DE"/>
              <w:bottom w:val="single" w:sz="4" w:color="D8D2DE"/>
              <w:right w:val="single" w:sz="4" w:color="D8D2DE"/>
            </w:tcBorders>
          </w:tcPr>
          <w:p>
            <w:r>
              <w:rPr>
                <w:rFonts w:ascii="Aptos" w:hAnsi="Aptos"/>
                <w:sz w:val="17"/>
              </w:rPr>
              <w:t>Test run says Execution period unknown</w:t>
            </w:r>
          </w:p>
        </w:tc>
        <w:tc>
          <w:tcPr>
            <w:tcW w:type="dxa" w:w="4032"/>
            <w:vAlign w:val="top"/>
            <w:tcBorders>
              <w:top w:val="single" w:sz="4" w:color="D8D2DE"/>
              <w:left w:val="single" w:sz="4" w:color="D8D2DE"/>
              <w:bottom w:val="single" w:sz="4" w:color="D8D2DE"/>
              <w:right w:val="single" w:sz="4" w:color="D8D2DE"/>
            </w:tcBorders>
          </w:tcPr>
          <w:p>
            <w:r>
              <w:rPr>
                <w:rFonts w:ascii="Aptos" w:hAnsi="Aptos"/>
                <w:sz w:val="17"/>
              </w:rPr>
              <w:t>Actual completion/execution timestamp is missing or unusable.</w:t>
            </w:r>
          </w:p>
        </w:tc>
        <w:tc>
          <w:tcPr>
            <w:tcW w:type="dxa" w:w="3888"/>
            <w:vAlign w:val="top"/>
            <w:tcBorders>
              <w:top w:val="single" w:sz="4" w:color="D8D2DE"/>
              <w:left w:val="single" w:sz="4" w:color="D8D2DE"/>
              <w:bottom w:val="single" w:sz="4" w:color="D8D2DE"/>
              <w:right w:val="single" w:sz="4" w:color="D8D2DE"/>
            </w:tcBorders>
          </w:tcPr>
          <w:p>
            <w:r>
              <w:rPr>
                <w:rFonts w:ascii="Aptos" w:hAnsi="Aptos"/>
                <w:sz w:val="17"/>
              </w:rPr>
              <w:t>Enter the real execution timestamp.</w:t>
            </w:r>
          </w:p>
        </w:tc>
      </w:tr>
      <w:tr>
        <w:tc>
          <w:tcPr>
            <w:tcW w:type="dxa" w:w="3024"/>
            <w:vAlign w:val="top"/>
            <w:tcBorders>
              <w:top w:val="single" w:sz="4" w:color="D8D2DE"/>
              <w:left w:val="single" w:sz="4" w:color="D8D2DE"/>
              <w:bottom w:val="single" w:sz="4" w:color="D8D2DE"/>
              <w:right w:val="single" w:sz="4" w:color="D8D2DE"/>
            </w:tcBorders>
          </w:tcPr>
          <w:p>
            <w:r>
              <w:rPr>
                <w:rFonts w:ascii="Aptos" w:hAnsi="Aptos"/>
                <w:sz w:val="17"/>
              </w:rPr>
              <w:t>Criterion cannot be marked Ready</w:t>
            </w:r>
          </w:p>
        </w:tc>
        <w:tc>
          <w:tcPr>
            <w:tcW w:type="dxa" w:w="4032"/>
            <w:vAlign w:val="top"/>
            <w:tcBorders>
              <w:top w:val="single" w:sz="4" w:color="D8D2DE"/>
              <w:left w:val="single" w:sz="4" w:color="D8D2DE"/>
              <w:bottom w:val="single" w:sz="4" w:color="D8D2DE"/>
              <w:right w:val="single" w:sz="4" w:color="D8D2DE"/>
            </w:tcBorders>
          </w:tcPr>
          <w:p>
            <w:r>
              <w:rPr>
                <w:rFonts w:ascii="Aptos" w:hAnsi="Aptos"/>
                <w:sz w:val="17"/>
              </w:rPr>
              <w:t>No selected coverage or a selected control has a Not Ready current decision / recommendation blocker.</w:t>
            </w:r>
          </w:p>
        </w:tc>
        <w:tc>
          <w:tcPr>
            <w:tcW w:type="dxa" w:w="3888"/>
            <w:vAlign w:val="top"/>
            <w:tcBorders>
              <w:top w:val="single" w:sz="4" w:color="D8D2DE"/>
              <w:left w:val="single" w:sz="4" w:color="D8D2DE"/>
              <w:bottom w:val="single" w:sz="4" w:color="D8D2DE"/>
              <w:right w:val="single" w:sz="4" w:color="D8D2DE"/>
            </w:tcBorders>
          </w:tcPr>
          <w:p>
            <w:r>
              <w:rPr>
                <w:rFonts w:ascii="Aptos" w:hAnsi="Aptos"/>
                <w:sz w:val="17"/>
              </w:rPr>
              <w:t>Fix coverage/control readiness before forcing the criterion conclusion.</w:t>
            </w:r>
          </w:p>
        </w:tc>
      </w:tr>
      <w:tr>
        <w:tc>
          <w:tcPr>
            <w:tcW w:type="dxa" w:w="3024"/>
            <w:vAlign w:val="top"/>
            <w:tcBorders>
              <w:top w:val="single" w:sz="4" w:color="D8D2DE"/>
              <w:left w:val="single" w:sz="4" w:color="D8D2DE"/>
              <w:bottom w:val="single" w:sz="4" w:color="D8D2DE"/>
              <w:right w:val="single" w:sz="4" w:color="D8D2DE"/>
            </w:tcBorders>
          </w:tcPr>
          <w:p>
            <w:r>
              <w:rPr>
                <w:rFonts w:ascii="Aptos" w:hAnsi="Aptos"/>
                <w:sz w:val="17"/>
              </w:rPr>
              <w:t>Engagement cannot be marked Ready</w:t>
            </w:r>
          </w:p>
        </w:tc>
        <w:tc>
          <w:tcPr>
            <w:tcW w:type="dxa" w:w="4032"/>
            <w:vAlign w:val="top"/>
            <w:tcBorders>
              <w:top w:val="single" w:sz="4" w:color="D8D2DE"/>
              <w:left w:val="single" w:sz="4" w:color="D8D2DE"/>
              <w:bottom w:val="single" w:sz="4" w:color="D8D2DE"/>
              <w:right w:val="single" w:sz="4" w:color="D8D2DE"/>
            </w:tcBorders>
          </w:tcPr>
          <w:p>
            <w:r>
              <w:rPr>
                <w:rFonts w:ascii="Aptos" w:hAnsi="Aptos"/>
                <w:sz w:val="17"/>
              </w:rPr>
              <w:t>Not all applicable criteria have current Ready decisions.</w:t>
            </w:r>
          </w:p>
        </w:tc>
        <w:tc>
          <w:tcPr>
            <w:tcW w:type="dxa" w:w="3888"/>
            <w:vAlign w:val="top"/>
            <w:tcBorders>
              <w:top w:val="single" w:sz="4" w:color="D8D2DE"/>
              <w:left w:val="single" w:sz="4" w:color="D8D2DE"/>
              <w:bottom w:val="single" w:sz="4" w:color="D8D2DE"/>
              <w:right w:val="single" w:sz="4" w:color="D8D2DE"/>
            </w:tcBorders>
          </w:tcPr>
          <w:p>
            <w:r>
              <w:rPr>
                <w:rFonts w:ascii="Aptos" w:hAnsi="Aptos"/>
                <w:sz w:val="17"/>
              </w:rPr>
              <w:t>Complete criterion decisions and resolve Not Ready/Conditional states as required.</w:t>
            </w:r>
          </w:p>
        </w:tc>
      </w:tr>
      <w:tr>
        <w:tc>
          <w:tcPr>
            <w:tcW w:type="dxa" w:w="3024"/>
            <w:vAlign w:val="top"/>
            <w:tcBorders>
              <w:top w:val="single" w:sz="4" w:color="D8D2DE"/>
              <w:left w:val="single" w:sz="4" w:color="D8D2DE"/>
              <w:bottom w:val="single" w:sz="4" w:color="D8D2DE"/>
              <w:right w:val="single" w:sz="4" w:color="D8D2DE"/>
            </w:tcBorders>
          </w:tcPr>
          <w:p>
            <w:r>
              <w:rPr>
                <w:rFonts w:ascii="Aptos" w:hAnsi="Aptos"/>
                <w:sz w:val="17"/>
              </w:rPr>
              <w:t>Old decision is no longer current</w:t>
            </w:r>
          </w:p>
        </w:tc>
        <w:tc>
          <w:tcPr>
            <w:tcW w:type="dxa" w:w="4032"/>
            <w:vAlign w:val="top"/>
            <w:tcBorders>
              <w:top w:val="single" w:sz="4" w:color="D8D2DE"/>
              <w:left w:val="single" w:sz="4" w:color="D8D2DE"/>
              <w:bottom w:val="single" w:sz="4" w:color="D8D2DE"/>
              <w:right w:val="single" w:sz="4" w:color="D8D2DE"/>
            </w:tcBorders>
          </w:tcPr>
          <w:p>
            <w:r>
              <w:rPr>
                <w:rFonts w:ascii="Aptos" w:hAnsi="Aptos"/>
                <w:sz w:val="17"/>
              </w:rPr>
              <w:t>A later readiness decision superseded it.</w:t>
            </w:r>
          </w:p>
        </w:tc>
        <w:tc>
          <w:tcPr>
            <w:tcW w:type="dxa" w:w="3888"/>
            <w:vAlign w:val="top"/>
            <w:tcBorders>
              <w:top w:val="single" w:sz="4" w:color="D8D2DE"/>
              <w:left w:val="single" w:sz="4" w:color="D8D2DE"/>
              <w:bottom w:val="single" w:sz="4" w:color="D8D2DE"/>
              <w:right w:val="single" w:sz="4" w:color="D8D2DE"/>
            </w:tcBorders>
          </w:tcPr>
          <w:p>
            <w:r>
              <w:rPr>
                <w:rFonts w:ascii="Aptos" w:hAnsi="Aptos"/>
                <w:sz w:val="17"/>
              </w:rPr>
              <w:t>Review history; this is expected behaviour and preserves the audit trail.</w:t>
            </w:r>
          </w:p>
        </w:tc>
      </w:tr>
    </w:tbl>
    <w:p>
      <w:pPr>
        <w:spacing w:after="20"/>
      </w:pPr>
    </w:p>
    <w:p>
      <w:r>
        <w:br w:type="page"/>
      </w:r>
    </w:p>
    <w:p>
      <w:pPr>
        <w:pStyle w:val="Heading1"/>
      </w:pPr>
      <w:r>
        <w:rPr>
          <w:rFonts w:ascii="Aptos" w:hAnsi="Aptos"/>
          <w:b/>
          <w:color w:val="4B0983"/>
          <w:sz w:val="38"/>
        </w:rPr>
        <w:t>27. Master implementation checklist</w:t>
      </w:r>
    </w:p>
    <w:p>
      <w:pPr>
        <w:pStyle w:val="Heading2"/>
      </w:pPr>
      <w:r>
        <w:rPr>
          <w:rFonts w:ascii="Aptos" w:hAnsi="Aptos"/>
          <w:b/>
          <w:color w:val="24152E"/>
          <w:sz w:val="28"/>
        </w:rPr>
        <w:t>27.1 Setup and scoping</w:t>
      </w:r>
    </w:p>
    <w:p>
      <w:pPr>
        <w:spacing w:after="40"/>
      </w:pPr>
      <w:r>
        <w:rPr>
          <w:rFonts w:ascii="Aptos" w:hAnsi="Aptos"/>
        </w:rPr>
        <w:t>[ ] Security baseline reviewed and optional categories justified.</w:t>
      </w:r>
    </w:p>
    <w:p>
      <w:pPr>
        <w:spacing w:after="40"/>
      </w:pPr>
      <w:r>
        <w:rPr>
          <w:rFonts w:ascii="Aptos" w:hAnsi="Aptos"/>
        </w:rPr>
        <w:t>[ ] Boundary-anchoring business processes selected.</w:t>
      </w:r>
    </w:p>
    <w:p>
      <w:pPr>
        <w:spacing w:after="40"/>
      </w:pPr>
      <w:r>
        <w:rPr>
          <w:rFonts w:ascii="Aptos" w:hAnsi="Aptos"/>
        </w:rPr>
        <w:t>[ ] Discovered assets reviewed.</w:t>
      </w:r>
    </w:p>
    <w:p>
      <w:pPr>
        <w:spacing w:after="40"/>
      </w:pPr>
      <w:r>
        <w:rPr>
          <w:rFonts w:ascii="Aptos" w:hAnsi="Aptos"/>
        </w:rPr>
        <w:t>[ ] Discovered third parties/services reviewed.</w:t>
      </w:r>
    </w:p>
    <w:p>
      <w:pPr>
        <w:spacing w:after="40"/>
      </w:pPr>
      <w:r>
        <w:rPr>
          <w:rFonts w:ascii="Aptos" w:hAnsi="Aptos"/>
        </w:rPr>
        <w:t>[ ] Scope-only items added where PurpleWASP source data is incomplete.</w:t>
      </w:r>
    </w:p>
    <w:p>
      <w:pPr>
        <w:spacing w:after="40"/>
      </w:pPr>
      <w:r>
        <w:rPr>
          <w:rFonts w:ascii="Aptos" w:hAnsi="Aptos"/>
        </w:rPr>
        <w:t>[ ] All blocking and management-review scope gaps resolved.</w:t>
      </w:r>
    </w:p>
    <w:p>
      <w:pPr>
        <w:spacing w:after="40"/>
      </w:pPr>
      <w:r>
        <w:rPr>
          <w:rFonts w:ascii="Aptos" w:hAnsi="Aptos"/>
        </w:rPr>
        <w:t>[ ] Service name, description and commitments completed.</w:t>
      </w:r>
    </w:p>
    <w:p>
      <w:pPr>
        <w:spacing w:after="40"/>
      </w:pPr>
      <w:r>
        <w:rPr>
          <w:rFonts w:ascii="Aptos" w:hAnsi="Aptos"/>
        </w:rPr>
        <w:t>[ ] Intended report users documented.</w:t>
      </w:r>
    </w:p>
    <w:p>
      <w:pPr>
        <w:spacing w:after="40"/>
      </w:pPr>
      <w:r>
        <w:rPr>
          <w:rFonts w:ascii="Aptos" w:hAnsi="Aptos"/>
        </w:rPr>
        <w:t>[ ] Type I or Type II selected; required dates complete.</w:t>
      </w:r>
    </w:p>
    <w:p>
      <w:pPr>
        <w:spacing w:after="40"/>
      </w:pPr>
      <w:r>
        <w:rPr>
          <w:rFonts w:ascii="Aptos" w:hAnsi="Aptos"/>
        </w:rPr>
        <w:t>[ ] Subservice organisation treatment and rationale completed.</w:t>
      </w:r>
    </w:p>
    <w:p>
      <w:pPr>
        <w:spacing w:after="40"/>
      </w:pPr>
      <w:r>
        <w:rPr>
          <w:rFonts w:ascii="Aptos" w:hAnsi="Aptos"/>
        </w:rPr>
        <w:t>[ ] CUECs explicitly Yes/No; complete CUECs documented if Yes.</w:t>
      </w:r>
    </w:p>
    <w:p>
      <w:pPr>
        <w:spacing w:after="40"/>
      </w:pPr>
      <w:r>
        <w:rPr>
          <w:rFonts w:ascii="Aptos" w:hAnsi="Aptos"/>
        </w:rPr>
        <w:t>[ ] Significant-changes decision complete.</w:t>
      </w:r>
    </w:p>
    <w:p>
      <w:pPr>
        <w:spacing w:after="40"/>
      </w:pPr>
      <w:r>
        <w:rPr>
          <w:rFonts w:ascii="Aptos" w:hAnsi="Aptos"/>
        </w:rPr>
        <w:t>[ ] Criterion-exclusion planning decision complete.</w:t>
      </w:r>
    </w:p>
    <w:p>
      <w:pPr>
        <w:spacing w:after="40"/>
      </w:pPr>
      <w:r>
        <w:rPr>
          <w:rFonts w:ascii="Aptos" w:hAnsi="Aptos"/>
        </w:rPr>
        <w:t>[ ] Step 3 completeness check passes.</w:t>
      </w:r>
    </w:p>
    <w:p>
      <w:pPr>
        <w:spacing w:after="40"/>
      </w:pPr>
      <w:r>
        <w:rPr>
          <w:rFonts w:ascii="Aptos" w:hAnsi="Aptos"/>
        </w:rPr>
        <w:t>[ ] Step 4 management attestation completed and engagement confirmed.</w:t>
      </w:r>
    </w:p>
    <w:p>
      <w:pPr>
        <w:pStyle w:val="Heading2"/>
      </w:pPr>
      <w:r>
        <w:rPr>
          <w:rFonts w:ascii="Aptos" w:hAnsi="Aptos"/>
          <w:b/>
          <w:color w:val="24152E"/>
          <w:sz w:val="28"/>
        </w:rPr>
        <w:t>27.2 Controls and operation</w:t>
      </w:r>
    </w:p>
    <w:p>
      <w:pPr>
        <w:spacing w:after="40"/>
      </w:pPr>
      <w:r>
        <w:rPr>
          <w:rFonts w:ascii="Aptos" w:hAnsi="Aptos"/>
        </w:rPr>
        <w:t>[ ] Every applicable criterion reviewed in Criteria Workspace.</w:t>
      </w:r>
    </w:p>
    <w:p>
      <w:pPr>
        <w:spacing w:after="40"/>
      </w:pPr>
      <w:r>
        <w:rPr>
          <w:rFonts w:ascii="Aptos" w:hAnsi="Aptos"/>
        </w:rPr>
        <w:t>[ ] Relevant candidate controls adopted into Control Management.</w:t>
      </w:r>
    </w:p>
    <w:p>
      <w:pPr>
        <w:spacing w:after="40"/>
      </w:pPr>
      <w:r>
        <w:rPr>
          <w:rFonts w:ascii="Aptos" w:hAnsi="Aptos"/>
        </w:rPr>
        <w:t>[ ] Explicit coverage selection completed for every applicable criterion.</w:t>
      </w:r>
    </w:p>
    <w:p>
      <w:pPr>
        <w:spacing w:after="40"/>
      </w:pPr>
      <w:r>
        <w:rPr>
          <w:rFonts w:ascii="Aptos" w:hAnsi="Aptos"/>
        </w:rPr>
        <w:t>[ ] Selected controls have accurate applicability/requirement/implementation status.</w:t>
      </w:r>
    </w:p>
    <w:p>
      <w:pPr>
        <w:spacing w:after="40"/>
      </w:pPr>
      <w:r>
        <w:rPr>
          <w:rFonts w:ascii="Aptos" w:hAnsi="Aptos"/>
        </w:rPr>
        <w:t>[ ] Control and implementation owners assigned.</w:t>
      </w:r>
    </w:p>
    <w:p>
      <w:pPr>
        <w:spacing w:after="40"/>
      </w:pPr>
      <w:r>
        <w:rPr>
          <w:rFonts w:ascii="Aptos" w:hAnsi="Aptos"/>
        </w:rPr>
        <w:t>[ ] Implementation statements describe real operation.</w:t>
      </w:r>
    </w:p>
    <w:p>
      <w:pPr>
        <w:spacing w:after="40"/>
      </w:pPr>
      <w:r>
        <w:rPr>
          <w:rFonts w:ascii="Aptos" w:hAnsi="Aptos"/>
        </w:rPr>
        <w:t>[ ] Asset-specific implementation recorded where material.</w:t>
      </w:r>
    </w:p>
    <w:p>
      <w:pPr>
        <w:spacing w:after="40"/>
      </w:pPr>
      <w:r>
        <w:rPr>
          <w:rFonts w:ascii="Aptos" w:hAnsi="Aptos"/>
        </w:rPr>
        <w:t>[ ] Appropriate final assessments completed.</w:t>
      </w:r>
    </w:p>
    <w:p>
      <w:pPr>
        <w:spacing w:after="40"/>
      </w:pPr>
      <w:r>
        <w:rPr>
          <w:rFonts w:ascii="Aptos" w:hAnsi="Aptos"/>
        </w:rPr>
        <w:t>[ ] Assessment notes explain procedures, evidence and limitations.</w:t>
      </w:r>
    </w:p>
    <w:p>
      <w:pPr>
        <w:pStyle w:val="Heading2"/>
      </w:pPr>
      <w:r>
        <w:rPr>
          <w:rFonts w:ascii="Aptos" w:hAnsi="Aptos"/>
          <w:b/>
          <w:color w:val="24152E"/>
          <w:sz w:val="28"/>
        </w:rPr>
        <w:t>27.3 Evidence, testing and remediation</w:t>
      </w:r>
    </w:p>
    <w:p>
      <w:pPr>
        <w:spacing w:after="40"/>
      </w:pPr>
      <w:r>
        <w:rPr>
          <w:rFonts w:ascii="Aptos" w:hAnsi="Aptos"/>
        </w:rPr>
        <w:t>[ ] Evidence linked to every selected control as appropriate.</w:t>
      </w:r>
    </w:p>
    <w:p>
      <w:pPr>
        <w:spacing w:after="40"/>
      </w:pPr>
      <w:r>
        <w:rPr>
          <w:rFonts w:ascii="Aptos" w:hAnsi="Aptos"/>
        </w:rPr>
        <w:t>[ ] Evidence source timestamps/validity dates are accurate.</w:t>
      </w:r>
    </w:p>
    <w:p>
      <w:pPr>
        <w:spacing w:after="40"/>
      </w:pPr>
      <w:r>
        <w:rPr>
          <w:rFonts w:ascii="Aptos" w:hAnsi="Aptos"/>
        </w:rPr>
        <w:t>[ ] Type II evidence has sufficient observation-period relevance.</w:t>
      </w:r>
    </w:p>
    <w:p>
      <w:pPr>
        <w:spacing w:after="40"/>
      </w:pPr>
      <w:r>
        <w:rPr>
          <w:rFonts w:ascii="Aptos" w:hAnsi="Aptos"/>
        </w:rPr>
        <w:t>[ ] Test plans exist for controls requiring testing/monitoring.</w:t>
      </w:r>
    </w:p>
    <w:p>
      <w:pPr>
        <w:spacing w:after="40"/>
      </w:pPr>
      <w:r>
        <w:rPr>
          <w:rFonts w:ascii="Aptos" w:hAnsi="Aptos"/>
        </w:rPr>
        <w:t>[ ] Test procedures and expected results are documented before execution.</w:t>
      </w:r>
    </w:p>
    <w:p>
      <w:pPr>
        <w:spacing w:after="40"/>
      </w:pPr>
      <w:r>
        <w:rPr>
          <w:rFonts w:ascii="Aptos" w:hAnsi="Aptos"/>
        </w:rPr>
        <w:t>[ ] Actual test execution timestamps are recorded.</w:t>
      </w:r>
    </w:p>
    <w:p>
      <w:pPr>
        <w:spacing w:after="40"/>
      </w:pPr>
      <w:r>
        <w:rPr>
          <w:rFonts w:ascii="Aptos" w:hAnsi="Aptos"/>
        </w:rPr>
        <w:t>[ ] Failed/error/inconclusive runs remain visible and are investigated.</w:t>
      </w:r>
    </w:p>
    <w:p>
      <w:pPr>
        <w:spacing w:after="40"/>
      </w:pPr>
      <w:r>
        <w:rPr>
          <w:rFonts w:ascii="Aptos" w:hAnsi="Aptos"/>
        </w:rPr>
        <w:t>[ ] Issues are created for material control failures/gaps.</w:t>
      </w:r>
    </w:p>
    <w:p>
      <w:pPr>
        <w:spacing w:after="40"/>
      </w:pPr>
      <w:r>
        <w:rPr>
          <w:rFonts w:ascii="Aptos" w:hAnsi="Aptos"/>
        </w:rPr>
        <w:t>[ ] Exceptions have justification, validity/review dates, risk and compensating safeguards where applicable.</w:t>
      </w:r>
    </w:p>
    <w:p>
      <w:pPr>
        <w:pStyle w:val="Heading2"/>
      </w:pPr>
      <w:r>
        <w:rPr>
          <w:rFonts w:ascii="Aptos" w:hAnsi="Aptos"/>
          <w:b/>
          <w:color w:val="24152E"/>
          <w:sz w:val="28"/>
        </w:rPr>
        <w:t>27.4 Readiness and auditor preparation</w:t>
      </w:r>
    </w:p>
    <w:p>
      <w:pPr>
        <w:spacing w:after="40"/>
      </w:pPr>
      <w:r>
        <w:rPr>
          <w:rFonts w:ascii="Aptos" w:hAnsi="Aptos"/>
        </w:rPr>
        <w:t>[ ] Operational Readiness reviewed across all selected controls.</w:t>
      </w:r>
    </w:p>
    <w:p>
      <w:pPr>
        <w:spacing w:after="40"/>
      </w:pPr>
      <w:r>
        <w:rPr>
          <w:rFonts w:ascii="Aptos" w:hAnsi="Aptos"/>
        </w:rPr>
        <w:t>[ ] Control readiness decisions recorded with rationale.</w:t>
      </w:r>
    </w:p>
    <w:p>
      <w:pPr>
        <w:spacing w:after="40"/>
      </w:pPr>
      <w:r>
        <w:rPr>
          <w:rFonts w:ascii="Aptos" w:hAnsi="Aptos"/>
        </w:rPr>
        <w:t>[ ] Every applicable criterion has a current decision.</w:t>
      </w:r>
    </w:p>
    <w:p>
      <w:pPr>
        <w:spacing w:after="40"/>
      </w:pPr>
      <w:r>
        <w:rPr>
          <w:rFonts w:ascii="Aptos" w:hAnsi="Aptos"/>
        </w:rPr>
        <w:t>[ ] No selected control Not Ready blocker contradicts a Ready/Conditional criterion decision.</w:t>
      </w:r>
    </w:p>
    <w:p>
      <w:pPr>
        <w:spacing w:after="40"/>
      </w:pPr>
      <w:r>
        <w:rPr>
          <w:rFonts w:ascii="Aptos" w:hAnsi="Aptos"/>
        </w:rPr>
        <w:t>[ ] Engagement readiness decision recorded.</w:t>
      </w:r>
    </w:p>
    <w:p>
      <w:pPr>
        <w:spacing w:after="40"/>
      </w:pPr>
      <w:r>
        <w:rPr>
          <w:rFonts w:ascii="Aptos" w:hAnsi="Aptos"/>
        </w:rPr>
        <w:t>[ ] PBC/auditor request index prepared using PurpleWASP references.</w:t>
      </w:r>
    </w:p>
    <w:p>
      <w:pPr>
        <w:spacing w:after="40"/>
      </w:pPr>
      <w:r>
        <w:rPr>
          <w:rFonts w:ascii="Aptos" w:hAnsi="Aptos"/>
        </w:rPr>
        <w:t>[ ] Known exceptions and unresolved limitations are disclosed rather than hidden.</w:t>
      </w:r>
    </w:p>
    <w:p>
      <w:pPr>
        <w:spacing w:after="40"/>
      </w:pPr>
      <w:r>
        <w:rPr>
          <w:rFonts w:ascii="Aptos" w:hAnsi="Aptos"/>
        </w:rPr>
        <w:t>[ ] Current engagement snapshot, evidence links and owners are accessible for fieldwork.</w:t>
      </w:r>
    </w:p>
    <w:p>
      <w:r>
        <w:br w:type="page"/>
      </w:r>
    </w:p>
    <w:p>
      <w:pPr>
        <w:pStyle w:val="Heading1"/>
      </w:pPr>
      <w:r>
        <w:rPr>
          <w:rFonts w:ascii="Aptos" w:hAnsi="Aptos"/>
          <w:b/>
          <w:color w:val="4B0983"/>
          <w:sz w:val="38"/>
        </w:rPr>
        <w:t>28. Glossary</w:t>
      </w:r>
    </w:p>
    <w:tbl>
      <w:tblPr>
        <w:tblStyle w:val="TableGrid"/>
        <w:tblW w:type="auto" w:w="0"/>
        <w:jc w:val="center"/>
        <w:tblLook w:firstColumn="1" w:firstRow="1" w:lastColumn="0" w:lastRow="0" w:noHBand="0" w:noVBand="1" w:val="04A0"/>
      </w:tblPr>
      <w:tblGrid>
        <w:gridCol w:w="4997"/>
        <w:gridCol w:w="4997"/>
      </w:tblGrid>
      <w:tr>
        <w:tc>
          <w:tcPr>
            <w:tcW w:type="dxa" w:w="2592"/>
            <w:shd w:fill="4B0983"/>
            <w:vAlign w:val="center"/>
          </w:tcPr>
          <w:p>
            <w:pPr>
              <w:jc w:val="left"/>
            </w:pPr>
            <w:r>
              <w:rPr>
                <w:rFonts w:ascii="Aptos" w:hAnsi="Aptos"/>
                <w:b/>
                <w:color w:val="FFFFFF"/>
                <w:sz w:val="16"/>
              </w:rPr>
              <w:t>Term</w:t>
            </w:r>
          </w:p>
        </w:tc>
        <w:tc>
          <w:tcPr>
            <w:tcW w:type="dxa" w:w="8208"/>
            <w:shd w:fill="4B0983"/>
            <w:vAlign w:val="center"/>
          </w:tcPr>
          <w:p>
            <w:pPr>
              <w:jc w:val="left"/>
            </w:pPr>
            <w:r>
              <w:rPr>
                <w:rFonts w:ascii="Aptos" w:hAnsi="Aptos"/>
                <w:b/>
                <w:color w:val="FFFFFF"/>
                <w:sz w:val="16"/>
              </w:rPr>
              <w:t>Meaning</w:t>
            </w:r>
          </w:p>
        </w:tc>
      </w:tr>
      <w:tr>
        <w:tc>
          <w:tcPr>
            <w:tcW w:type="dxa" w:w="2592"/>
            <w:vAlign w:val="top"/>
            <w:tcBorders>
              <w:top w:val="single" w:sz="4" w:color="D8D2DE"/>
              <w:left w:val="single" w:sz="4" w:color="D8D2DE"/>
              <w:bottom w:val="single" w:sz="4" w:color="D8D2DE"/>
              <w:right w:val="single" w:sz="4" w:color="D8D2DE"/>
            </w:tcBorders>
          </w:tcPr>
          <w:p>
            <w:r>
              <w:rPr>
                <w:rFonts w:ascii="Aptos" w:hAnsi="Aptos"/>
                <w:sz w:val="16"/>
              </w:rPr>
              <w:t>AICPA</w:t>
            </w:r>
          </w:p>
        </w:tc>
        <w:tc>
          <w:tcPr>
            <w:tcW w:type="dxa" w:w="8208"/>
            <w:vAlign w:val="top"/>
            <w:tcBorders>
              <w:top w:val="single" w:sz="4" w:color="D8D2DE"/>
              <w:left w:val="single" w:sz="4" w:color="D8D2DE"/>
              <w:bottom w:val="single" w:sz="4" w:color="D8D2DE"/>
              <w:right w:val="single" w:sz="4" w:color="D8D2DE"/>
            </w:tcBorders>
          </w:tcPr>
          <w:p>
            <w:r>
              <w:rPr>
                <w:rFonts w:ascii="Aptos" w:hAnsi="Aptos"/>
                <w:sz w:val="16"/>
              </w:rPr>
              <w:t>American Institute of Certified Public Accountants; publisher of the SOC framework and Trust Services Criteria.</w:t>
            </w:r>
          </w:p>
        </w:tc>
      </w:tr>
      <w:tr>
        <w:tc>
          <w:tcPr>
            <w:tcW w:type="dxa" w:w="2592"/>
            <w:vAlign w:val="top"/>
            <w:tcBorders>
              <w:top w:val="single" w:sz="4" w:color="D8D2DE"/>
              <w:left w:val="single" w:sz="4" w:color="D8D2DE"/>
              <w:bottom w:val="single" w:sz="4" w:color="D8D2DE"/>
              <w:right w:val="single" w:sz="4" w:color="D8D2DE"/>
            </w:tcBorders>
          </w:tcPr>
          <w:p>
            <w:r>
              <w:rPr>
                <w:rFonts w:ascii="Aptos" w:hAnsi="Aptos"/>
                <w:sz w:val="16"/>
              </w:rPr>
              <w:t>Applicable criterion</w:t>
            </w:r>
          </w:p>
        </w:tc>
        <w:tc>
          <w:tcPr>
            <w:tcW w:type="dxa" w:w="8208"/>
            <w:vAlign w:val="top"/>
            <w:tcBorders>
              <w:top w:val="single" w:sz="4" w:color="D8D2DE"/>
              <w:left w:val="single" w:sz="4" w:color="D8D2DE"/>
              <w:bottom w:val="single" w:sz="4" w:color="D8D2DE"/>
              <w:right w:val="single" w:sz="4" w:color="D8D2DE"/>
            </w:tcBorders>
          </w:tcPr>
          <w:p>
            <w:r>
              <w:rPr>
                <w:rFonts w:ascii="Aptos" w:hAnsi="Aptos"/>
                <w:sz w:val="16"/>
              </w:rPr>
              <w:t>A Trust Services criterion included in the confirmed engagement and not treated as not applicable.</w:t>
            </w:r>
          </w:p>
        </w:tc>
      </w:tr>
      <w:tr>
        <w:tc>
          <w:tcPr>
            <w:tcW w:type="dxa" w:w="2592"/>
            <w:vAlign w:val="top"/>
            <w:tcBorders>
              <w:top w:val="single" w:sz="4" w:color="D8D2DE"/>
              <w:left w:val="single" w:sz="4" w:color="D8D2DE"/>
              <w:bottom w:val="single" w:sz="4" w:color="D8D2DE"/>
              <w:right w:val="single" w:sz="4" w:color="D8D2DE"/>
            </w:tcBorders>
          </w:tcPr>
          <w:p>
            <w:r>
              <w:rPr>
                <w:rFonts w:ascii="Aptos" w:hAnsi="Aptos"/>
                <w:sz w:val="16"/>
              </w:rPr>
              <w:t>Candidate control</w:t>
            </w:r>
          </w:p>
        </w:tc>
        <w:tc>
          <w:tcPr>
            <w:tcW w:type="dxa" w:w="8208"/>
            <w:vAlign w:val="top"/>
            <w:tcBorders>
              <w:top w:val="single" w:sz="4" w:color="D8D2DE"/>
              <w:left w:val="single" w:sz="4" w:color="D8D2DE"/>
              <w:bottom w:val="single" w:sz="4" w:color="D8D2DE"/>
              <w:right w:val="single" w:sz="4" w:color="D8D2DE"/>
            </w:tcBorders>
          </w:tcPr>
          <w:p>
            <w:r>
              <w:rPr>
                <w:rFonts w:ascii="Aptos" w:hAnsi="Aptos"/>
                <w:sz w:val="16"/>
              </w:rPr>
              <w:t>A PurpleWASP mapping suggesting that a control may support a criterion; not yet an organisation coverage decision.</w:t>
            </w:r>
          </w:p>
        </w:tc>
      </w:tr>
      <w:tr>
        <w:tc>
          <w:tcPr>
            <w:tcW w:type="dxa" w:w="2592"/>
            <w:vAlign w:val="top"/>
            <w:tcBorders>
              <w:top w:val="single" w:sz="4" w:color="D8D2DE"/>
              <w:left w:val="single" w:sz="4" w:color="D8D2DE"/>
              <w:bottom w:val="single" w:sz="4" w:color="D8D2DE"/>
              <w:right w:val="single" w:sz="4" w:color="D8D2DE"/>
            </w:tcBorders>
          </w:tcPr>
          <w:p>
            <w:r>
              <w:rPr>
                <w:rFonts w:ascii="Aptos" w:hAnsi="Aptos"/>
                <w:sz w:val="16"/>
              </w:rPr>
              <w:t>Coverage plan</w:t>
            </w:r>
          </w:p>
        </w:tc>
        <w:tc>
          <w:tcPr>
            <w:tcW w:type="dxa" w:w="8208"/>
            <w:vAlign w:val="top"/>
            <w:tcBorders>
              <w:top w:val="single" w:sz="4" w:color="D8D2DE"/>
              <w:left w:val="single" w:sz="4" w:color="D8D2DE"/>
              <w:bottom w:val="single" w:sz="4" w:color="D8D2DE"/>
              <w:right w:val="single" w:sz="4" w:color="D8D2DE"/>
            </w:tcBorders>
          </w:tcPr>
          <w:p>
            <w:r>
              <w:rPr>
                <w:rFonts w:ascii="Aptos" w:hAnsi="Aptos"/>
                <w:sz w:val="16"/>
              </w:rPr>
              <w:t>Management-selected criterion-to-organisation-control relationships used for readiness calculations.</w:t>
            </w:r>
          </w:p>
        </w:tc>
      </w:tr>
      <w:tr>
        <w:tc>
          <w:tcPr>
            <w:tcW w:type="dxa" w:w="2592"/>
            <w:vAlign w:val="top"/>
            <w:tcBorders>
              <w:top w:val="single" w:sz="4" w:color="D8D2DE"/>
              <w:left w:val="single" w:sz="4" w:color="D8D2DE"/>
              <w:bottom w:val="single" w:sz="4" w:color="D8D2DE"/>
              <w:right w:val="single" w:sz="4" w:color="D8D2DE"/>
            </w:tcBorders>
          </w:tcPr>
          <w:p>
            <w:r>
              <w:rPr>
                <w:rFonts w:ascii="Aptos" w:hAnsi="Aptos"/>
                <w:sz w:val="16"/>
              </w:rPr>
              <w:t>CUEC</w:t>
            </w:r>
          </w:p>
        </w:tc>
        <w:tc>
          <w:tcPr>
            <w:tcW w:type="dxa" w:w="8208"/>
            <w:vAlign w:val="top"/>
            <w:tcBorders>
              <w:top w:val="single" w:sz="4" w:color="D8D2DE"/>
              <w:left w:val="single" w:sz="4" w:color="D8D2DE"/>
              <w:bottom w:val="single" w:sz="4" w:color="D8D2DE"/>
              <w:right w:val="single" w:sz="4" w:color="D8D2DE"/>
            </w:tcBorders>
          </w:tcPr>
          <w:p>
            <w:r>
              <w:rPr>
                <w:rFonts w:ascii="Aptos" w:hAnsi="Aptos"/>
                <w:sz w:val="16"/>
              </w:rPr>
              <w:t>Complementary User Entity Control - a responsibility expected of the user entity/customer.</w:t>
            </w:r>
          </w:p>
        </w:tc>
      </w:tr>
      <w:tr>
        <w:tc>
          <w:tcPr>
            <w:tcW w:type="dxa" w:w="2592"/>
            <w:vAlign w:val="top"/>
            <w:tcBorders>
              <w:top w:val="single" w:sz="4" w:color="D8D2DE"/>
              <w:left w:val="single" w:sz="4" w:color="D8D2DE"/>
              <w:bottom w:val="single" w:sz="4" w:color="D8D2DE"/>
              <w:right w:val="single" w:sz="4" w:color="D8D2DE"/>
            </w:tcBorders>
          </w:tcPr>
          <w:p>
            <w:r>
              <w:rPr>
                <w:rFonts w:ascii="Aptos" w:hAnsi="Aptos"/>
                <w:sz w:val="16"/>
              </w:rPr>
              <w:t>Design effectiveness</w:t>
            </w:r>
          </w:p>
        </w:tc>
        <w:tc>
          <w:tcPr>
            <w:tcW w:type="dxa" w:w="8208"/>
            <w:vAlign w:val="top"/>
            <w:tcBorders>
              <w:top w:val="single" w:sz="4" w:color="D8D2DE"/>
              <w:left w:val="single" w:sz="4" w:color="D8D2DE"/>
              <w:bottom w:val="single" w:sz="4" w:color="D8D2DE"/>
              <w:right w:val="single" w:sz="4" w:color="D8D2DE"/>
            </w:tcBorders>
          </w:tcPr>
          <w:p>
            <w:r>
              <w:rPr>
                <w:rFonts w:ascii="Aptos" w:hAnsi="Aptos"/>
                <w:sz w:val="16"/>
              </w:rPr>
              <w:t>Whether the control is suitably designed to meet its objective/criterion.</w:t>
            </w:r>
          </w:p>
        </w:tc>
      </w:tr>
      <w:tr>
        <w:tc>
          <w:tcPr>
            <w:tcW w:type="dxa" w:w="2592"/>
            <w:vAlign w:val="top"/>
            <w:tcBorders>
              <w:top w:val="single" w:sz="4" w:color="D8D2DE"/>
              <w:left w:val="single" w:sz="4" w:color="D8D2DE"/>
              <w:bottom w:val="single" w:sz="4" w:color="D8D2DE"/>
              <w:right w:val="single" w:sz="4" w:color="D8D2DE"/>
            </w:tcBorders>
          </w:tcPr>
          <w:p>
            <w:r>
              <w:rPr>
                <w:rFonts w:ascii="Aptos" w:hAnsi="Aptos"/>
                <w:sz w:val="16"/>
              </w:rPr>
              <w:t>Evidence link</w:t>
            </w:r>
          </w:p>
        </w:tc>
        <w:tc>
          <w:tcPr>
            <w:tcW w:type="dxa" w:w="8208"/>
            <w:vAlign w:val="top"/>
            <w:tcBorders>
              <w:top w:val="single" w:sz="4" w:color="D8D2DE"/>
              <w:left w:val="single" w:sz="4" w:color="D8D2DE"/>
              <w:bottom w:val="single" w:sz="4" w:color="D8D2DE"/>
              <w:right w:val="single" w:sz="4" w:color="D8D2DE"/>
            </w:tcBorders>
          </w:tcPr>
          <w:p>
            <w:r>
              <w:rPr>
                <w:rFonts w:ascii="Aptos" w:hAnsi="Aptos"/>
                <w:sz w:val="16"/>
              </w:rPr>
              <w:t>The relationship between a reusable evidence record and an organisation control.</w:t>
            </w:r>
          </w:p>
        </w:tc>
      </w:tr>
      <w:tr>
        <w:tc>
          <w:tcPr>
            <w:tcW w:type="dxa" w:w="2592"/>
            <w:vAlign w:val="top"/>
            <w:tcBorders>
              <w:top w:val="single" w:sz="4" w:color="D8D2DE"/>
              <w:left w:val="single" w:sz="4" w:color="D8D2DE"/>
              <w:bottom w:val="single" w:sz="4" w:color="D8D2DE"/>
              <w:right w:val="single" w:sz="4" w:color="D8D2DE"/>
            </w:tcBorders>
          </w:tcPr>
          <w:p>
            <w:r>
              <w:rPr>
                <w:rFonts w:ascii="Aptos" w:hAnsi="Aptos"/>
                <w:sz w:val="16"/>
              </w:rPr>
              <w:t>Inclusive method</w:t>
            </w:r>
          </w:p>
        </w:tc>
        <w:tc>
          <w:tcPr>
            <w:tcW w:type="dxa" w:w="8208"/>
            <w:vAlign w:val="top"/>
            <w:tcBorders>
              <w:top w:val="single" w:sz="4" w:color="D8D2DE"/>
              <w:left w:val="single" w:sz="4" w:color="D8D2DE"/>
              <w:bottom w:val="single" w:sz="4" w:color="D8D2DE"/>
              <w:right w:val="single" w:sz="4" w:color="D8D2DE"/>
            </w:tcBorders>
          </w:tcPr>
          <w:p>
            <w:r>
              <w:rPr>
                <w:rFonts w:ascii="Aptos" w:hAnsi="Aptos"/>
                <w:sz w:val="16"/>
              </w:rPr>
              <w:t>SOC reporting treatment in which relevant subservice-organisation controls are included in the description/examination, subject to auditor judgement and applicable requirements.</w:t>
            </w:r>
          </w:p>
        </w:tc>
      </w:tr>
      <w:tr>
        <w:tc>
          <w:tcPr>
            <w:tcW w:type="dxa" w:w="2592"/>
            <w:vAlign w:val="top"/>
            <w:tcBorders>
              <w:top w:val="single" w:sz="4" w:color="D8D2DE"/>
              <w:left w:val="single" w:sz="4" w:color="D8D2DE"/>
              <w:bottom w:val="single" w:sz="4" w:color="D8D2DE"/>
              <w:right w:val="single" w:sz="4" w:color="D8D2DE"/>
            </w:tcBorders>
          </w:tcPr>
          <w:p>
            <w:r>
              <w:rPr>
                <w:rFonts w:ascii="Aptos" w:hAnsi="Aptos"/>
                <w:sz w:val="16"/>
              </w:rPr>
              <w:t>Carve-out method</w:t>
            </w:r>
          </w:p>
        </w:tc>
        <w:tc>
          <w:tcPr>
            <w:tcW w:type="dxa" w:w="8208"/>
            <w:vAlign w:val="top"/>
            <w:tcBorders>
              <w:top w:val="single" w:sz="4" w:color="D8D2DE"/>
              <w:left w:val="single" w:sz="4" w:color="D8D2DE"/>
              <w:bottom w:val="single" w:sz="4" w:color="D8D2DE"/>
              <w:right w:val="single" w:sz="4" w:color="D8D2DE"/>
            </w:tcBorders>
          </w:tcPr>
          <w:p>
            <w:r>
              <w:rPr>
                <w:rFonts w:ascii="Aptos" w:hAnsi="Aptos"/>
                <w:sz w:val="16"/>
              </w:rPr>
              <w:t>SOC reporting treatment in which the description identifies the subservice organisation but its controls are excluded from the scope of the service auditor’s examination, subject to auditor judgement and applicable requirements.</w:t>
            </w:r>
          </w:p>
        </w:tc>
      </w:tr>
      <w:tr>
        <w:tc>
          <w:tcPr>
            <w:tcW w:type="dxa" w:w="2592"/>
            <w:vAlign w:val="top"/>
            <w:tcBorders>
              <w:top w:val="single" w:sz="4" w:color="D8D2DE"/>
              <w:left w:val="single" w:sz="4" w:color="D8D2DE"/>
              <w:bottom w:val="single" w:sz="4" w:color="D8D2DE"/>
              <w:right w:val="single" w:sz="4" w:color="D8D2DE"/>
            </w:tcBorders>
          </w:tcPr>
          <w:p>
            <w:r>
              <w:rPr>
                <w:rFonts w:ascii="Aptos" w:hAnsi="Aptos"/>
                <w:sz w:val="16"/>
              </w:rPr>
              <w:t>Observation period</w:t>
            </w:r>
          </w:p>
        </w:tc>
        <w:tc>
          <w:tcPr>
            <w:tcW w:type="dxa" w:w="8208"/>
            <w:vAlign w:val="top"/>
            <w:tcBorders>
              <w:top w:val="single" w:sz="4" w:color="D8D2DE"/>
              <w:left w:val="single" w:sz="4" w:color="D8D2DE"/>
              <w:bottom w:val="single" w:sz="4" w:color="D8D2DE"/>
              <w:right w:val="single" w:sz="4" w:color="D8D2DE"/>
            </w:tcBorders>
          </w:tcPr>
          <w:p>
            <w:r>
              <w:rPr>
                <w:rFonts w:ascii="Aptos" w:hAnsi="Aptos"/>
                <w:sz w:val="16"/>
              </w:rPr>
              <w:t>The period over which Type II operating effectiveness is examined.</w:t>
            </w:r>
          </w:p>
        </w:tc>
      </w:tr>
      <w:tr>
        <w:tc>
          <w:tcPr>
            <w:tcW w:type="dxa" w:w="2592"/>
            <w:vAlign w:val="top"/>
            <w:tcBorders>
              <w:top w:val="single" w:sz="4" w:color="D8D2DE"/>
              <w:left w:val="single" w:sz="4" w:color="D8D2DE"/>
              <w:bottom w:val="single" w:sz="4" w:color="D8D2DE"/>
              <w:right w:val="single" w:sz="4" w:color="D8D2DE"/>
            </w:tcBorders>
          </w:tcPr>
          <w:p>
            <w:r>
              <w:rPr>
                <w:rFonts w:ascii="Aptos" w:hAnsi="Aptos"/>
                <w:sz w:val="16"/>
              </w:rPr>
              <w:t>Operating effectiveness</w:t>
            </w:r>
          </w:p>
        </w:tc>
        <w:tc>
          <w:tcPr>
            <w:tcW w:type="dxa" w:w="8208"/>
            <w:vAlign w:val="top"/>
            <w:tcBorders>
              <w:top w:val="single" w:sz="4" w:color="D8D2DE"/>
              <w:left w:val="single" w:sz="4" w:color="D8D2DE"/>
              <w:bottom w:val="single" w:sz="4" w:color="D8D2DE"/>
              <w:right w:val="single" w:sz="4" w:color="D8D2DE"/>
            </w:tcBorders>
          </w:tcPr>
          <w:p>
            <w:r>
              <w:rPr>
                <w:rFonts w:ascii="Aptos" w:hAnsi="Aptos"/>
                <w:sz w:val="16"/>
              </w:rPr>
              <w:t>Whether a control operated as designed over the relevant time/population.</w:t>
            </w:r>
          </w:p>
        </w:tc>
      </w:tr>
      <w:tr>
        <w:tc>
          <w:tcPr>
            <w:tcW w:type="dxa" w:w="2592"/>
            <w:vAlign w:val="top"/>
            <w:tcBorders>
              <w:top w:val="single" w:sz="4" w:color="D8D2DE"/>
              <w:left w:val="single" w:sz="4" w:color="D8D2DE"/>
              <w:bottom w:val="single" w:sz="4" w:color="D8D2DE"/>
              <w:right w:val="single" w:sz="4" w:color="D8D2DE"/>
            </w:tcBorders>
          </w:tcPr>
          <w:p>
            <w:r>
              <w:rPr>
                <w:rFonts w:ascii="Aptos" w:hAnsi="Aptos"/>
                <w:sz w:val="16"/>
              </w:rPr>
              <w:t>Period-relevant evidence</w:t>
            </w:r>
          </w:p>
        </w:tc>
        <w:tc>
          <w:tcPr>
            <w:tcW w:type="dxa" w:w="8208"/>
            <w:vAlign w:val="top"/>
            <w:tcBorders>
              <w:top w:val="single" w:sz="4" w:color="D8D2DE"/>
              <w:left w:val="single" w:sz="4" w:color="D8D2DE"/>
              <w:bottom w:val="single" w:sz="4" w:color="D8D2DE"/>
              <w:right w:val="single" w:sz="4" w:color="D8D2DE"/>
            </w:tcBorders>
          </w:tcPr>
          <w:p>
            <w:r>
              <w:rPr>
                <w:rFonts w:ascii="Aptos" w:hAnsi="Aptos"/>
                <w:sz w:val="16"/>
              </w:rPr>
              <w:t>Evidence whose source or validity interval overlaps the engagement observation window under PurpleWASP’s temporal classification.</w:t>
            </w:r>
          </w:p>
        </w:tc>
      </w:tr>
      <w:tr>
        <w:tc>
          <w:tcPr>
            <w:tcW w:type="dxa" w:w="2592"/>
            <w:vAlign w:val="top"/>
            <w:tcBorders>
              <w:top w:val="single" w:sz="4" w:color="D8D2DE"/>
              <w:left w:val="single" w:sz="4" w:color="D8D2DE"/>
              <w:bottom w:val="single" w:sz="4" w:color="D8D2DE"/>
              <w:right w:val="single" w:sz="4" w:color="D8D2DE"/>
            </w:tcBorders>
          </w:tcPr>
          <w:p>
            <w:r>
              <w:rPr>
                <w:rFonts w:ascii="Aptos" w:hAnsi="Aptos"/>
                <w:sz w:val="16"/>
              </w:rPr>
              <w:t>Readiness recommendation</w:t>
            </w:r>
          </w:p>
        </w:tc>
        <w:tc>
          <w:tcPr>
            <w:tcW w:type="dxa" w:w="8208"/>
            <w:vAlign w:val="top"/>
            <w:tcBorders>
              <w:top w:val="single" w:sz="4" w:color="D8D2DE"/>
              <w:left w:val="single" w:sz="4" w:color="D8D2DE"/>
              <w:bottom w:val="single" w:sz="4" w:color="D8D2DE"/>
              <w:right w:val="single" w:sz="4" w:color="D8D2DE"/>
            </w:tcBorders>
          </w:tcPr>
          <w:p>
            <w:r>
              <w:rPr>
                <w:rFonts w:ascii="Aptos" w:hAnsi="Aptos"/>
                <w:sz w:val="16"/>
              </w:rPr>
              <w:t>PurpleWASP-derived guidance from current operational signals.</w:t>
            </w:r>
          </w:p>
        </w:tc>
      </w:tr>
      <w:tr>
        <w:tc>
          <w:tcPr>
            <w:tcW w:type="dxa" w:w="2592"/>
            <w:vAlign w:val="top"/>
            <w:tcBorders>
              <w:top w:val="single" w:sz="4" w:color="D8D2DE"/>
              <w:left w:val="single" w:sz="4" w:color="D8D2DE"/>
              <w:bottom w:val="single" w:sz="4" w:color="D8D2DE"/>
              <w:right w:val="single" w:sz="4" w:color="D8D2DE"/>
            </w:tcBorders>
          </w:tcPr>
          <w:p>
            <w:r>
              <w:rPr>
                <w:rFonts w:ascii="Aptos" w:hAnsi="Aptos"/>
                <w:sz w:val="16"/>
              </w:rPr>
              <w:t>Readiness decision</w:t>
            </w:r>
          </w:p>
        </w:tc>
        <w:tc>
          <w:tcPr>
            <w:tcW w:type="dxa" w:w="8208"/>
            <w:vAlign w:val="top"/>
            <w:tcBorders>
              <w:top w:val="single" w:sz="4" w:color="D8D2DE"/>
              <w:left w:val="single" w:sz="4" w:color="D8D2DE"/>
              <w:bottom w:val="single" w:sz="4" w:color="D8D2DE"/>
              <w:right w:val="single" w:sz="4" w:color="D8D2DE"/>
            </w:tcBorders>
          </w:tcPr>
          <w:p>
            <w:r>
              <w:rPr>
                <w:rFonts w:ascii="Aptos" w:hAnsi="Aptos"/>
                <w:sz w:val="16"/>
              </w:rPr>
              <w:t>Management/assessor conclusion stored separately from the recommendation and preserved with rationale/history.</w:t>
            </w:r>
          </w:p>
        </w:tc>
      </w:tr>
      <w:tr>
        <w:tc>
          <w:tcPr>
            <w:tcW w:type="dxa" w:w="2592"/>
            <w:vAlign w:val="top"/>
            <w:tcBorders>
              <w:top w:val="single" w:sz="4" w:color="D8D2DE"/>
              <w:left w:val="single" w:sz="4" w:color="D8D2DE"/>
              <w:bottom w:val="single" w:sz="4" w:color="D8D2DE"/>
              <w:right w:val="single" w:sz="4" w:color="D8D2DE"/>
            </w:tcBorders>
          </w:tcPr>
          <w:p>
            <w:r>
              <w:rPr>
                <w:rFonts w:ascii="Aptos" w:hAnsi="Aptos"/>
                <w:sz w:val="16"/>
              </w:rPr>
              <w:t>Service auditor</w:t>
            </w:r>
          </w:p>
        </w:tc>
        <w:tc>
          <w:tcPr>
            <w:tcW w:type="dxa" w:w="8208"/>
            <w:vAlign w:val="top"/>
            <w:tcBorders>
              <w:top w:val="single" w:sz="4" w:color="D8D2DE"/>
              <w:left w:val="single" w:sz="4" w:color="D8D2DE"/>
              <w:bottom w:val="single" w:sz="4" w:color="D8D2DE"/>
              <w:right w:val="single" w:sz="4" w:color="D8D2DE"/>
            </w:tcBorders>
          </w:tcPr>
          <w:p>
            <w:r>
              <w:rPr>
                <w:rFonts w:ascii="Aptos" w:hAnsi="Aptos"/>
                <w:sz w:val="16"/>
              </w:rPr>
              <w:t>The independent CPA/practitioner performing the SOC 2 examination and issuing the report.</w:t>
            </w:r>
          </w:p>
        </w:tc>
      </w:tr>
      <w:tr>
        <w:tc>
          <w:tcPr>
            <w:tcW w:type="dxa" w:w="2592"/>
            <w:vAlign w:val="top"/>
            <w:tcBorders>
              <w:top w:val="single" w:sz="4" w:color="D8D2DE"/>
              <w:left w:val="single" w:sz="4" w:color="D8D2DE"/>
              <w:bottom w:val="single" w:sz="4" w:color="D8D2DE"/>
              <w:right w:val="single" w:sz="4" w:color="D8D2DE"/>
            </w:tcBorders>
          </w:tcPr>
          <w:p>
            <w:r>
              <w:rPr>
                <w:rFonts w:ascii="Aptos" w:hAnsi="Aptos"/>
                <w:sz w:val="16"/>
              </w:rPr>
              <w:t>SOC 2 Type I</w:t>
            </w:r>
          </w:p>
        </w:tc>
        <w:tc>
          <w:tcPr>
            <w:tcW w:type="dxa" w:w="8208"/>
            <w:vAlign w:val="top"/>
            <w:tcBorders>
              <w:top w:val="single" w:sz="4" w:color="D8D2DE"/>
              <w:left w:val="single" w:sz="4" w:color="D8D2DE"/>
              <w:bottom w:val="single" w:sz="4" w:color="D8D2DE"/>
              <w:right w:val="single" w:sz="4" w:color="D8D2DE"/>
            </w:tcBorders>
          </w:tcPr>
          <w:p>
            <w:r>
              <w:rPr>
                <w:rFonts w:ascii="Aptos" w:hAnsi="Aptos"/>
                <w:sz w:val="16"/>
              </w:rPr>
              <w:t>Examination of control design at a specified date.</w:t>
            </w:r>
          </w:p>
        </w:tc>
      </w:tr>
      <w:tr>
        <w:tc>
          <w:tcPr>
            <w:tcW w:type="dxa" w:w="2592"/>
            <w:vAlign w:val="top"/>
            <w:tcBorders>
              <w:top w:val="single" w:sz="4" w:color="D8D2DE"/>
              <w:left w:val="single" w:sz="4" w:color="D8D2DE"/>
              <w:bottom w:val="single" w:sz="4" w:color="D8D2DE"/>
              <w:right w:val="single" w:sz="4" w:color="D8D2DE"/>
            </w:tcBorders>
          </w:tcPr>
          <w:p>
            <w:r>
              <w:rPr>
                <w:rFonts w:ascii="Aptos" w:hAnsi="Aptos"/>
                <w:sz w:val="16"/>
              </w:rPr>
              <w:t>SOC 2 Type II</w:t>
            </w:r>
          </w:p>
        </w:tc>
        <w:tc>
          <w:tcPr>
            <w:tcW w:type="dxa" w:w="8208"/>
            <w:vAlign w:val="top"/>
            <w:tcBorders>
              <w:top w:val="single" w:sz="4" w:color="D8D2DE"/>
              <w:left w:val="single" w:sz="4" w:color="D8D2DE"/>
              <w:bottom w:val="single" w:sz="4" w:color="D8D2DE"/>
              <w:right w:val="single" w:sz="4" w:color="D8D2DE"/>
            </w:tcBorders>
          </w:tcPr>
          <w:p>
            <w:r>
              <w:rPr>
                <w:rFonts w:ascii="Aptos" w:hAnsi="Aptos"/>
                <w:sz w:val="16"/>
              </w:rPr>
              <w:t>Examination of control design and operating effectiveness over a period.</w:t>
            </w:r>
          </w:p>
        </w:tc>
      </w:tr>
      <w:tr>
        <w:tc>
          <w:tcPr>
            <w:tcW w:type="dxa" w:w="2592"/>
            <w:vAlign w:val="top"/>
            <w:tcBorders>
              <w:top w:val="single" w:sz="4" w:color="D8D2DE"/>
              <w:left w:val="single" w:sz="4" w:color="D8D2DE"/>
              <w:bottom w:val="single" w:sz="4" w:color="D8D2DE"/>
              <w:right w:val="single" w:sz="4" w:color="D8D2DE"/>
            </w:tcBorders>
          </w:tcPr>
          <w:p>
            <w:r>
              <w:rPr>
                <w:rFonts w:ascii="Aptos" w:hAnsi="Aptos"/>
                <w:sz w:val="16"/>
              </w:rPr>
              <w:t>Subservice organisation</w:t>
            </w:r>
          </w:p>
        </w:tc>
        <w:tc>
          <w:tcPr>
            <w:tcW w:type="dxa" w:w="8208"/>
            <w:vAlign w:val="top"/>
            <w:tcBorders>
              <w:top w:val="single" w:sz="4" w:color="D8D2DE"/>
              <w:left w:val="single" w:sz="4" w:color="D8D2DE"/>
              <w:bottom w:val="single" w:sz="4" w:color="D8D2DE"/>
              <w:right w:val="single" w:sz="4" w:color="D8D2DE"/>
            </w:tcBorders>
          </w:tcPr>
          <w:p>
            <w:r>
              <w:rPr>
                <w:rFonts w:ascii="Aptos" w:hAnsi="Aptos"/>
                <w:sz w:val="16"/>
              </w:rPr>
              <w:t>A service provider whose services/controls may be relevant to the service organisation’s system and the applicable criteria.</w:t>
            </w:r>
          </w:p>
        </w:tc>
      </w:tr>
      <w:tr>
        <w:tc>
          <w:tcPr>
            <w:tcW w:type="dxa" w:w="2592"/>
            <w:vAlign w:val="top"/>
            <w:tcBorders>
              <w:top w:val="single" w:sz="4" w:color="D8D2DE"/>
              <w:left w:val="single" w:sz="4" w:color="D8D2DE"/>
              <w:bottom w:val="single" w:sz="4" w:color="D8D2DE"/>
              <w:right w:val="single" w:sz="4" w:color="D8D2DE"/>
            </w:tcBorders>
          </w:tcPr>
          <w:p>
            <w:r>
              <w:rPr>
                <w:rFonts w:ascii="Aptos" w:hAnsi="Aptos"/>
                <w:sz w:val="16"/>
              </w:rPr>
              <w:t>Trust Services Categories</w:t>
            </w:r>
          </w:p>
        </w:tc>
        <w:tc>
          <w:tcPr>
            <w:tcW w:type="dxa" w:w="8208"/>
            <w:vAlign w:val="top"/>
            <w:tcBorders>
              <w:top w:val="single" w:sz="4" w:color="D8D2DE"/>
              <w:left w:val="single" w:sz="4" w:color="D8D2DE"/>
              <w:bottom w:val="single" w:sz="4" w:color="D8D2DE"/>
              <w:right w:val="single" w:sz="4" w:color="D8D2DE"/>
            </w:tcBorders>
          </w:tcPr>
          <w:p>
            <w:r>
              <w:rPr>
                <w:rFonts w:ascii="Aptos" w:hAnsi="Aptos"/>
                <w:sz w:val="16"/>
              </w:rPr>
              <w:t>Security, Availability, Processing Integrity, Confidentiality and Privacy.</w:t>
            </w:r>
          </w:p>
        </w:tc>
      </w:tr>
      <w:tr>
        <w:tc>
          <w:tcPr>
            <w:tcW w:type="dxa" w:w="2592"/>
            <w:vAlign w:val="top"/>
            <w:tcBorders>
              <w:top w:val="single" w:sz="4" w:color="D8D2DE"/>
              <w:left w:val="single" w:sz="4" w:color="D8D2DE"/>
              <w:bottom w:val="single" w:sz="4" w:color="D8D2DE"/>
              <w:right w:val="single" w:sz="4" w:color="D8D2DE"/>
            </w:tcBorders>
          </w:tcPr>
          <w:p>
            <w:r>
              <w:rPr>
                <w:rFonts w:ascii="Aptos" w:hAnsi="Aptos"/>
                <w:sz w:val="16"/>
              </w:rPr>
              <w:t>Trust Services Criteria</w:t>
            </w:r>
          </w:p>
        </w:tc>
        <w:tc>
          <w:tcPr>
            <w:tcW w:type="dxa" w:w="8208"/>
            <w:vAlign w:val="top"/>
            <w:tcBorders>
              <w:top w:val="single" w:sz="4" w:color="D8D2DE"/>
              <w:left w:val="single" w:sz="4" w:color="D8D2DE"/>
              <w:bottom w:val="single" w:sz="4" w:color="D8D2DE"/>
              <w:right w:val="single" w:sz="4" w:color="D8D2DE"/>
            </w:tcBorders>
          </w:tcPr>
          <w:p>
            <w:r>
              <w:rPr>
                <w:rFonts w:ascii="Aptos" w:hAnsi="Aptos"/>
                <w:sz w:val="16"/>
              </w:rPr>
              <w:t>AICPA criteria used to evaluate controls relevant to the selected Trust Services Categories.</w:t>
            </w:r>
          </w:p>
        </w:tc>
      </w:tr>
    </w:tbl>
    <w:p>
      <w:pPr>
        <w:spacing w:after="20"/>
      </w:pPr>
    </w:p>
    <w:p>
      <w:r>
        <w:br w:type="page"/>
      </w:r>
    </w:p>
    <w:p>
      <w:pPr>
        <w:pStyle w:val="Heading1"/>
      </w:pPr>
      <w:r>
        <w:rPr>
          <w:rFonts w:ascii="Aptos" w:hAnsi="Aptos"/>
          <w:b/>
          <w:color w:val="4B0983"/>
          <w:sz w:val="38"/>
        </w:rPr>
        <w:t>29. PurpleWASP page reference</w:t>
      </w:r>
    </w:p>
    <w:tbl>
      <w:tblPr>
        <w:tblStyle w:val="TableGrid"/>
        <w:tblW w:type="auto" w:w="0"/>
        <w:jc w:val="center"/>
        <w:tblLook w:firstColumn="1" w:firstRow="1" w:lastColumn="0" w:lastRow="0" w:noHBand="0" w:noVBand="1" w:val="04A0"/>
      </w:tblPr>
      <w:tblGrid>
        <w:gridCol w:w="3331"/>
        <w:gridCol w:w="3331"/>
        <w:gridCol w:w="3331"/>
      </w:tblGrid>
      <w:tr>
        <w:tc>
          <w:tcPr>
            <w:tcW w:type="dxa" w:w="3096"/>
            <w:shd w:fill="4B0983"/>
            <w:vAlign w:val="center"/>
          </w:tcPr>
          <w:p>
            <w:pPr>
              <w:jc w:val="left"/>
            </w:pPr>
            <w:r>
              <w:rPr>
                <w:rFonts w:ascii="Aptos" w:hAnsi="Aptos"/>
                <w:b/>
                <w:color w:val="FFFFFF"/>
                <w:sz w:val="16"/>
              </w:rPr>
              <w:t>User-facing page</w:t>
            </w:r>
          </w:p>
        </w:tc>
        <w:tc>
          <w:tcPr>
            <w:tcW w:type="dxa" w:w="3600"/>
            <w:shd w:fill="4B0983"/>
            <w:vAlign w:val="center"/>
          </w:tcPr>
          <w:p>
            <w:pPr>
              <w:jc w:val="left"/>
            </w:pPr>
            <w:r>
              <w:rPr>
                <w:rFonts w:ascii="Aptos" w:hAnsi="Aptos"/>
                <w:b/>
                <w:color w:val="FFFFFF"/>
                <w:sz w:val="16"/>
              </w:rPr>
              <w:t>Route</w:t>
            </w:r>
          </w:p>
        </w:tc>
        <w:tc>
          <w:tcPr>
            <w:tcW w:type="dxa" w:w="4320"/>
            <w:shd w:fill="4B0983"/>
            <w:vAlign w:val="center"/>
          </w:tcPr>
          <w:p>
            <w:pPr>
              <w:jc w:val="left"/>
            </w:pPr>
            <w:r>
              <w:rPr>
                <w:rFonts w:ascii="Aptos" w:hAnsi="Aptos"/>
                <w:b/>
                <w:color w:val="FFFFFF"/>
                <w:sz w:val="16"/>
              </w:rPr>
              <w:t>Use</w:t>
            </w:r>
          </w:p>
        </w:tc>
      </w:tr>
      <w:tr>
        <w:tc>
          <w:tcPr>
            <w:tcW w:type="dxa" w:w="3096"/>
            <w:vAlign w:val="top"/>
            <w:tcBorders>
              <w:top w:val="single" w:sz="4" w:color="D8D2DE"/>
              <w:left w:val="single" w:sz="4" w:color="D8D2DE"/>
              <w:bottom w:val="single" w:sz="4" w:color="D8D2DE"/>
              <w:right w:val="single" w:sz="4" w:color="D8D2DE"/>
            </w:tcBorders>
          </w:tcPr>
          <w:p>
            <w:r>
              <w:rPr>
                <w:rFonts w:ascii="Aptos" w:hAnsi="Aptos"/>
                <w:sz w:val="16"/>
              </w:rPr>
              <w:t>SOC 2 Dashboard</w:t>
            </w:r>
          </w:p>
        </w:tc>
        <w:tc>
          <w:tcPr>
            <w:tcW w:type="dxa" w:w="3600"/>
            <w:vAlign w:val="top"/>
            <w:tcBorders>
              <w:top w:val="single" w:sz="4" w:color="D8D2DE"/>
              <w:left w:val="single" w:sz="4" w:color="D8D2DE"/>
              <w:bottom w:val="single" w:sz="4" w:color="D8D2DE"/>
              <w:right w:val="single" w:sz="4" w:color="D8D2DE"/>
            </w:tcBorders>
          </w:tcPr>
          <w:p>
            <w:r>
              <w:rPr>
                <w:rFonts w:ascii="Aptos" w:hAnsi="Aptos"/>
                <w:sz w:val="16"/>
              </w:rPr>
              <w:t>/compliance/soc2/dashboard</w:t>
            </w:r>
          </w:p>
        </w:tc>
        <w:tc>
          <w:tcPr>
            <w:tcW w:type="dxa" w:w="4320"/>
            <w:vAlign w:val="top"/>
            <w:tcBorders>
              <w:top w:val="single" w:sz="4" w:color="D8D2DE"/>
              <w:left w:val="single" w:sz="4" w:color="D8D2DE"/>
              <w:bottom w:val="single" w:sz="4" w:color="D8D2DE"/>
              <w:right w:val="single" w:sz="4" w:color="D8D2DE"/>
            </w:tcBorders>
          </w:tcPr>
          <w:p>
            <w:r>
              <w:rPr>
                <w:rFonts w:ascii="Aptos" w:hAnsi="Aptos"/>
                <w:sz w:val="16"/>
              </w:rPr>
              <w:t>Engagement summary and live readiness overview.</w:t>
            </w:r>
          </w:p>
        </w:tc>
      </w:tr>
      <w:tr>
        <w:tc>
          <w:tcPr>
            <w:tcW w:type="dxa" w:w="3096"/>
            <w:vAlign w:val="top"/>
            <w:tcBorders>
              <w:top w:val="single" w:sz="4" w:color="D8D2DE"/>
              <w:left w:val="single" w:sz="4" w:color="D8D2DE"/>
              <w:bottom w:val="single" w:sz="4" w:color="D8D2DE"/>
              <w:right w:val="single" w:sz="4" w:color="D8D2DE"/>
            </w:tcBorders>
          </w:tcPr>
          <w:p>
            <w:r>
              <w:rPr>
                <w:rFonts w:ascii="Aptos" w:hAnsi="Aptos"/>
                <w:sz w:val="16"/>
              </w:rPr>
              <w:t>Scope Setup</w:t>
            </w:r>
          </w:p>
        </w:tc>
        <w:tc>
          <w:tcPr>
            <w:tcW w:type="dxa" w:w="3600"/>
            <w:vAlign w:val="top"/>
            <w:tcBorders>
              <w:top w:val="single" w:sz="4" w:color="D8D2DE"/>
              <w:left w:val="single" w:sz="4" w:color="D8D2DE"/>
              <w:bottom w:val="single" w:sz="4" w:color="D8D2DE"/>
              <w:right w:val="single" w:sz="4" w:color="D8D2DE"/>
            </w:tcBorders>
          </w:tcPr>
          <w:p>
            <w:r>
              <w:rPr>
                <w:rFonts w:ascii="Aptos" w:hAnsi="Aptos"/>
                <w:sz w:val="16"/>
              </w:rPr>
              <w:t>/compliance/soc2/setup</w:t>
            </w:r>
          </w:p>
        </w:tc>
        <w:tc>
          <w:tcPr>
            <w:tcW w:type="dxa" w:w="4320"/>
            <w:vAlign w:val="top"/>
            <w:tcBorders>
              <w:top w:val="single" w:sz="4" w:color="D8D2DE"/>
              <w:left w:val="single" w:sz="4" w:color="D8D2DE"/>
              <w:bottom w:val="single" w:sz="4" w:color="D8D2DE"/>
              <w:right w:val="single" w:sz="4" w:color="D8D2DE"/>
            </w:tcBorders>
          </w:tcPr>
          <w:p>
            <w:r>
              <w:rPr>
                <w:rFonts w:ascii="Aptos" w:hAnsi="Aptos"/>
                <w:sz w:val="16"/>
              </w:rPr>
              <w:t>Four-step setup modal/workspace.</w:t>
            </w:r>
          </w:p>
        </w:tc>
      </w:tr>
      <w:tr>
        <w:tc>
          <w:tcPr>
            <w:tcW w:type="dxa" w:w="3096"/>
            <w:vAlign w:val="top"/>
            <w:tcBorders>
              <w:top w:val="single" w:sz="4" w:color="D8D2DE"/>
              <w:left w:val="single" w:sz="4" w:color="D8D2DE"/>
              <w:bottom w:val="single" w:sz="4" w:color="D8D2DE"/>
              <w:right w:val="single" w:sz="4" w:color="D8D2DE"/>
            </w:tcBorders>
          </w:tcPr>
          <w:p>
            <w:r>
              <w:rPr>
                <w:rFonts w:ascii="Aptos" w:hAnsi="Aptos"/>
                <w:sz w:val="16"/>
              </w:rPr>
              <w:t>System Scope</w:t>
            </w:r>
          </w:p>
        </w:tc>
        <w:tc>
          <w:tcPr>
            <w:tcW w:type="dxa" w:w="3600"/>
            <w:vAlign w:val="top"/>
            <w:tcBorders>
              <w:top w:val="single" w:sz="4" w:color="D8D2DE"/>
              <w:left w:val="single" w:sz="4" w:color="D8D2DE"/>
              <w:bottom w:val="single" w:sz="4" w:color="D8D2DE"/>
              <w:right w:val="single" w:sz="4" w:color="D8D2DE"/>
            </w:tcBorders>
          </w:tcPr>
          <w:p>
            <w:r>
              <w:rPr>
                <w:rFonts w:ascii="Aptos" w:hAnsi="Aptos"/>
                <w:sz w:val="16"/>
              </w:rPr>
              <w:t>/compliance/soc2/system_scope</w:t>
            </w:r>
          </w:p>
        </w:tc>
        <w:tc>
          <w:tcPr>
            <w:tcW w:type="dxa" w:w="4320"/>
            <w:vAlign w:val="top"/>
            <w:tcBorders>
              <w:top w:val="single" w:sz="4" w:color="D8D2DE"/>
              <w:left w:val="single" w:sz="4" w:color="D8D2DE"/>
              <w:bottom w:val="single" w:sz="4" w:color="D8D2DE"/>
              <w:right w:val="single" w:sz="4" w:color="D8D2DE"/>
            </w:tcBorders>
          </w:tcPr>
          <w:p>
            <w:r>
              <w:rPr>
                <w:rFonts w:ascii="Aptos" w:hAnsi="Aptos"/>
                <w:sz w:val="16"/>
              </w:rPr>
              <w:t>Step 2 boundary discovery (normally opened inside setup).</w:t>
            </w:r>
          </w:p>
        </w:tc>
      </w:tr>
      <w:tr>
        <w:tc>
          <w:tcPr>
            <w:tcW w:type="dxa" w:w="3096"/>
            <w:vAlign w:val="top"/>
            <w:tcBorders>
              <w:top w:val="single" w:sz="4" w:color="D8D2DE"/>
              <w:left w:val="single" w:sz="4" w:color="D8D2DE"/>
              <w:bottom w:val="single" w:sz="4" w:color="D8D2DE"/>
              <w:right w:val="single" w:sz="4" w:color="D8D2DE"/>
            </w:tcBorders>
          </w:tcPr>
          <w:p>
            <w:r>
              <w:rPr>
                <w:rFonts w:ascii="Aptos" w:hAnsi="Aptos"/>
                <w:sz w:val="16"/>
              </w:rPr>
              <w:t>Engagement Scope</w:t>
            </w:r>
          </w:p>
        </w:tc>
        <w:tc>
          <w:tcPr>
            <w:tcW w:type="dxa" w:w="3600"/>
            <w:vAlign w:val="top"/>
            <w:tcBorders>
              <w:top w:val="single" w:sz="4" w:color="D8D2DE"/>
              <w:left w:val="single" w:sz="4" w:color="D8D2DE"/>
              <w:bottom w:val="single" w:sz="4" w:color="D8D2DE"/>
              <w:right w:val="single" w:sz="4" w:color="D8D2DE"/>
            </w:tcBorders>
          </w:tcPr>
          <w:p>
            <w:r>
              <w:rPr>
                <w:rFonts w:ascii="Aptos" w:hAnsi="Aptos"/>
                <w:sz w:val="16"/>
              </w:rPr>
              <w:t>/compliance/soc2/engagement_scope</w:t>
            </w:r>
          </w:p>
        </w:tc>
        <w:tc>
          <w:tcPr>
            <w:tcW w:type="dxa" w:w="4320"/>
            <w:vAlign w:val="top"/>
            <w:tcBorders>
              <w:top w:val="single" w:sz="4" w:color="D8D2DE"/>
              <w:left w:val="single" w:sz="4" w:color="D8D2DE"/>
              <w:bottom w:val="single" w:sz="4" w:color="D8D2DE"/>
              <w:right w:val="single" w:sz="4" w:color="D8D2DE"/>
            </w:tcBorders>
          </w:tcPr>
          <w:p>
            <w:r>
              <w:rPr>
                <w:rFonts w:ascii="Aptos" w:hAnsi="Aptos"/>
                <w:sz w:val="16"/>
              </w:rPr>
              <w:t>Step 3 engagement/system description (normally opened inside setup).</w:t>
            </w:r>
          </w:p>
        </w:tc>
      </w:tr>
      <w:tr>
        <w:tc>
          <w:tcPr>
            <w:tcW w:type="dxa" w:w="3096"/>
            <w:vAlign w:val="top"/>
            <w:tcBorders>
              <w:top w:val="single" w:sz="4" w:color="D8D2DE"/>
              <w:left w:val="single" w:sz="4" w:color="D8D2DE"/>
              <w:bottom w:val="single" w:sz="4" w:color="D8D2DE"/>
              <w:right w:val="single" w:sz="4" w:color="D8D2DE"/>
            </w:tcBorders>
          </w:tcPr>
          <w:p>
            <w:r>
              <w:rPr>
                <w:rFonts w:ascii="Aptos" w:hAnsi="Aptos"/>
                <w:sz w:val="16"/>
              </w:rPr>
              <w:t>Review &amp; Confirm</w:t>
            </w:r>
          </w:p>
        </w:tc>
        <w:tc>
          <w:tcPr>
            <w:tcW w:type="dxa" w:w="3600"/>
            <w:vAlign w:val="top"/>
            <w:tcBorders>
              <w:top w:val="single" w:sz="4" w:color="D8D2DE"/>
              <w:left w:val="single" w:sz="4" w:color="D8D2DE"/>
              <w:bottom w:val="single" w:sz="4" w:color="D8D2DE"/>
              <w:right w:val="single" w:sz="4" w:color="D8D2DE"/>
            </w:tcBorders>
          </w:tcPr>
          <w:p>
            <w:r>
              <w:rPr>
                <w:rFonts w:ascii="Aptos" w:hAnsi="Aptos"/>
                <w:sz w:val="16"/>
              </w:rPr>
              <w:t>/compliance/soc2/review_confirm</w:t>
            </w:r>
          </w:p>
        </w:tc>
        <w:tc>
          <w:tcPr>
            <w:tcW w:type="dxa" w:w="4320"/>
            <w:vAlign w:val="top"/>
            <w:tcBorders>
              <w:top w:val="single" w:sz="4" w:color="D8D2DE"/>
              <w:left w:val="single" w:sz="4" w:color="D8D2DE"/>
              <w:bottom w:val="single" w:sz="4" w:color="D8D2DE"/>
              <w:right w:val="single" w:sz="4" w:color="D8D2DE"/>
            </w:tcBorders>
          </w:tcPr>
          <w:p>
            <w:r>
              <w:rPr>
                <w:rFonts w:ascii="Aptos" w:hAnsi="Aptos"/>
                <w:sz w:val="16"/>
              </w:rPr>
              <w:t>Step 4 final validation/confirmation (normally opened inside setup).</w:t>
            </w:r>
          </w:p>
        </w:tc>
      </w:tr>
      <w:tr>
        <w:tc>
          <w:tcPr>
            <w:tcW w:type="dxa" w:w="3096"/>
            <w:vAlign w:val="top"/>
            <w:tcBorders>
              <w:top w:val="single" w:sz="4" w:color="D8D2DE"/>
              <w:left w:val="single" w:sz="4" w:color="D8D2DE"/>
              <w:bottom w:val="single" w:sz="4" w:color="D8D2DE"/>
              <w:right w:val="single" w:sz="4" w:color="D8D2DE"/>
            </w:tcBorders>
          </w:tcPr>
          <w:p>
            <w:r>
              <w:rPr>
                <w:rFonts w:ascii="Aptos" w:hAnsi="Aptos"/>
                <w:sz w:val="16"/>
              </w:rPr>
              <w:t>Criteria Workspace</w:t>
            </w:r>
          </w:p>
        </w:tc>
        <w:tc>
          <w:tcPr>
            <w:tcW w:type="dxa" w:w="3600"/>
            <w:vAlign w:val="top"/>
            <w:tcBorders>
              <w:top w:val="single" w:sz="4" w:color="D8D2DE"/>
              <w:left w:val="single" w:sz="4" w:color="D8D2DE"/>
              <w:bottom w:val="single" w:sz="4" w:color="D8D2DE"/>
              <w:right w:val="single" w:sz="4" w:color="D8D2DE"/>
            </w:tcBorders>
          </w:tcPr>
          <w:p>
            <w:r>
              <w:rPr>
                <w:rFonts w:ascii="Aptos" w:hAnsi="Aptos"/>
                <w:sz w:val="16"/>
              </w:rPr>
              <w:t>/compliance/soc2/criteria_workspace</w:t>
            </w:r>
          </w:p>
        </w:tc>
        <w:tc>
          <w:tcPr>
            <w:tcW w:type="dxa" w:w="4320"/>
            <w:vAlign w:val="top"/>
            <w:tcBorders>
              <w:top w:val="single" w:sz="4" w:color="D8D2DE"/>
              <w:left w:val="single" w:sz="4" w:color="D8D2DE"/>
              <w:bottom w:val="single" w:sz="4" w:color="D8D2DE"/>
              <w:right w:val="single" w:sz="4" w:color="D8D2DE"/>
            </w:tcBorders>
          </w:tcPr>
          <w:p>
            <w:r>
              <w:rPr>
                <w:rFonts w:ascii="Aptos" w:hAnsi="Aptos"/>
                <w:sz w:val="16"/>
              </w:rPr>
              <w:t>Criteria and candidate/selected control matrix.</w:t>
            </w:r>
          </w:p>
        </w:tc>
      </w:tr>
      <w:tr>
        <w:tc>
          <w:tcPr>
            <w:tcW w:type="dxa" w:w="3096"/>
            <w:vAlign w:val="top"/>
            <w:tcBorders>
              <w:top w:val="single" w:sz="4" w:color="D8D2DE"/>
              <w:left w:val="single" w:sz="4" w:color="D8D2DE"/>
              <w:bottom w:val="single" w:sz="4" w:color="D8D2DE"/>
              <w:right w:val="single" w:sz="4" w:color="D8D2DE"/>
            </w:tcBorders>
          </w:tcPr>
          <w:p>
            <w:r>
              <w:rPr>
                <w:rFonts w:ascii="Aptos" w:hAnsi="Aptos"/>
                <w:sz w:val="16"/>
              </w:rPr>
              <w:t>Control Coverage Plan</w:t>
            </w:r>
          </w:p>
        </w:tc>
        <w:tc>
          <w:tcPr>
            <w:tcW w:type="dxa" w:w="3600"/>
            <w:vAlign w:val="top"/>
            <w:tcBorders>
              <w:top w:val="single" w:sz="4" w:color="D8D2DE"/>
              <w:left w:val="single" w:sz="4" w:color="D8D2DE"/>
              <w:bottom w:val="single" w:sz="4" w:color="D8D2DE"/>
              <w:right w:val="single" w:sz="4" w:color="D8D2DE"/>
            </w:tcBorders>
          </w:tcPr>
          <w:p>
            <w:r>
              <w:rPr>
                <w:rFonts w:ascii="Aptos" w:hAnsi="Aptos"/>
                <w:sz w:val="16"/>
              </w:rPr>
              <w:t>/compliance/soc2/control_coverage</w:t>
            </w:r>
          </w:p>
        </w:tc>
        <w:tc>
          <w:tcPr>
            <w:tcW w:type="dxa" w:w="4320"/>
            <w:vAlign w:val="top"/>
            <w:tcBorders>
              <w:top w:val="single" w:sz="4" w:color="D8D2DE"/>
              <w:left w:val="single" w:sz="4" w:color="D8D2DE"/>
              <w:bottom w:val="single" w:sz="4" w:color="D8D2DE"/>
              <w:right w:val="single" w:sz="4" w:color="D8D2DE"/>
            </w:tcBorders>
          </w:tcPr>
          <w:p>
            <w:r>
              <w:rPr>
                <w:rFonts w:ascii="Aptos" w:hAnsi="Aptos"/>
                <w:sz w:val="16"/>
              </w:rPr>
              <w:t>Explicit management coverage selections.</w:t>
            </w:r>
          </w:p>
        </w:tc>
      </w:tr>
      <w:tr>
        <w:tc>
          <w:tcPr>
            <w:tcW w:type="dxa" w:w="3096"/>
            <w:vAlign w:val="top"/>
            <w:tcBorders>
              <w:top w:val="single" w:sz="4" w:color="D8D2DE"/>
              <w:left w:val="single" w:sz="4" w:color="D8D2DE"/>
              <w:bottom w:val="single" w:sz="4" w:color="D8D2DE"/>
              <w:right w:val="single" w:sz="4" w:color="D8D2DE"/>
            </w:tcBorders>
          </w:tcPr>
          <w:p>
            <w:r>
              <w:rPr>
                <w:rFonts w:ascii="Aptos" w:hAnsi="Aptos"/>
                <w:sz w:val="16"/>
              </w:rPr>
              <w:t>Implementation Workbench</w:t>
            </w:r>
          </w:p>
        </w:tc>
        <w:tc>
          <w:tcPr>
            <w:tcW w:type="dxa" w:w="3600"/>
            <w:vAlign w:val="top"/>
            <w:tcBorders>
              <w:top w:val="single" w:sz="4" w:color="D8D2DE"/>
              <w:left w:val="single" w:sz="4" w:color="D8D2DE"/>
              <w:bottom w:val="single" w:sz="4" w:color="D8D2DE"/>
              <w:right w:val="single" w:sz="4" w:color="D8D2DE"/>
            </w:tcBorders>
          </w:tcPr>
          <w:p>
            <w:r>
              <w:rPr>
                <w:rFonts w:ascii="Aptos" w:hAnsi="Aptos"/>
                <w:sz w:val="16"/>
              </w:rPr>
              <w:t>/compliance/soc2/control_implementation</w:t>
            </w:r>
          </w:p>
        </w:tc>
        <w:tc>
          <w:tcPr>
            <w:tcW w:type="dxa" w:w="4320"/>
            <w:vAlign w:val="top"/>
            <w:tcBorders>
              <w:top w:val="single" w:sz="4" w:color="D8D2DE"/>
              <w:left w:val="single" w:sz="4" w:color="D8D2DE"/>
              <w:bottom w:val="single" w:sz="4" w:color="D8D2DE"/>
              <w:right w:val="single" w:sz="4" w:color="D8D2DE"/>
            </w:tcBorders>
          </w:tcPr>
          <w:p>
            <w:r>
              <w:rPr>
                <w:rFonts w:ascii="Aptos" w:hAnsi="Aptos"/>
                <w:sz w:val="16"/>
              </w:rPr>
              <w:t>Control and asset implementation.</w:t>
            </w:r>
          </w:p>
        </w:tc>
      </w:tr>
      <w:tr>
        <w:tc>
          <w:tcPr>
            <w:tcW w:type="dxa" w:w="3096"/>
            <w:vAlign w:val="top"/>
            <w:tcBorders>
              <w:top w:val="single" w:sz="4" w:color="D8D2DE"/>
              <w:left w:val="single" w:sz="4" w:color="D8D2DE"/>
              <w:bottom w:val="single" w:sz="4" w:color="D8D2DE"/>
              <w:right w:val="single" w:sz="4" w:color="D8D2DE"/>
            </w:tcBorders>
          </w:tcPr>
          <w:p>
            <w:r>
              <w:rPr>
                <w:rFonts w:ascii="Aptos" w:hAnsi="Aptos"/>
                <w:sz w:val="16"/>
              </w:rPr>
              <w:t>Control Assessments</w:t>
            </w:r>
          </w:p>
        </w:tc>
        <w:tc>
          <w:tcPr>
            <w:tcW w:type="dxa" w:w="3600"/>
            <w:vAlign w:val="top"/>
            <w:tcBorders>
              <w:top w:val="single" w:sz="4" w:color="D8D2DE"/>
              <w:left w:val="single" w:sz="4" w:color="D8D2DE"/>
              <w:bottom w:val="single" w:sz="4" w:color="D8D2DE"/>
              <w:right w:val="single" w:sz="4" w:color="D8D2DE"/>
            </w:tcBorders>
          </w:tcPr>
          <w:p>
            <w:r>
              <w:rPr>
                <w:rFonts w:ascii="Aptos" w:hAnsi="Aptos"/>
                <w:sz w:val="16"/>
              </w:rPr>
              <w:t>/compliance/soc2/control_assessment</w:t>
            </w:r>
          </w:p>
        </w:tc>
        <w:tc>
          <w:tcPr>
            <w:tcW w:type="dxa" w:w="4320"/>
            <w:vAlign w:val="top"/>
            <w:tcBorders>
              <w:top w:val="single" w:sz="4" w:color="D8D2DE"/>
              <w:left w:val="single" w:sz="4" w:color="D8D2DE"/>
              <w:bottom w:val="single" w:sz="4" w:color="D8D2DE"/>
              <w:right w:val="single" w:sz="4" w:color="D8D2DE"/>
            </w:tcBorders>
          </w:tcPr>
          <w:p>
            <w:r>
              <w:rPr>
                <w:rFonts w:ascii="Aptos" w:hAnsi="Aptos"/>
                <w:sz w:val="16"/>
              </w:rPr>
              <w:t>Design/operating/combined assessment records.</w:t>
            </w:r>
          </w:p>
        </w:tc>
      </w:tr>
      <w:tr>
        <w:tc>
          <w:tcPr>
            <w:tcW w:type="dxa" w:w="3096"/>
            <w:vAlign w:val="top"/>
            <w:tcBorders>
              <w:top w:val="single" w:sz="4" w:color="D8D2DE"/>
              <w:left w:val="single" w:sz="4" w:color="D8D2DE"/>
              <w:bottom w:val="single" w:sz="4" w:color="D8D2DE"/>
              <w:right w:val="single" w:sz="4" w:color="D8D2DE"/>
            </w:tcBorders>
          </w:tcPr>
          <w:p>
            <w:r>
              <w:rPr>
                <w:rFonts w:ascii="Aptos" w:hAnsi="Aptos"/>
                <w:sz w:val="16"/>
              </w:rPr>
              <w:t>Tests &amp; Monitoring</w:t>
            </w:r>
          </w:p>
        </w:tc>
        <w:tc>
          <w:tcPr>
            <w:tcW w:type="dxa" w:w="3600"/>
            <w:vAlign w:val="top"/>
            <w:tcBorders>
              <w:top w:val="single" w:sz="4" w:color="D8D2DE"/>
              <w:left w:val="single" w:sz="4" w:color="D8D2DE"/>
              <w:bottom w:val="single" w:sz="4" w:color="D8D2DE"/>
              <w:right w:val="single" w:sz="4" w:color="D8D2DE"/>
            </w:tcBorders>
          </w:tcPr>
          <w:p>
            <w:r>
              <w:rPr>
                <w:rFonts w:ascii="Aptos" w:hAnsi="Aptos"/>
                <w:sz w:val="16"/>
              </w:rPr>
              <w:t>/compliance/soc2/control_testing</w:t>
            </w:r>
          </w:p>
        </w:tc>
        <w:tc>
          <w:tcPr>
            <w:tcW w:type="dxa" w:w="4320"/>
            <w:vAlign w:val="top"/>
            <w:tcBorders>
              <w:top w:val="single" w:sz="4" w:color="D8D2DE"/>
              <w:left w:val="single" w:sz="4" w:color="D8D2DE"/>
              <w:bottom w:val="single" w:sz="4" w:color="D8D2DE"/>
              <w:right w:val="single" w:sz="4" w:color="D8D2DE"/>
            </w:tcBorders>
          </w:tcPr>
          <w:p>
            <w:r>
              <w:rPr>
                <w:rFonts w:ascii="Aptos" w:hAnsi="Aptos"/>
                <w:sz w:val="16"/>
              </w:rPr>
              <w:t>Test definitions and completed runs.</w:t>
            </w:r>
          </w:p>
        </w:tc>
      </w:tr>
      <w:tr>
        <w:tc>
          <w:tcPr>
            <w:tcW w:type="dxa" w:w="3096"/>
            <w:vAlign w:val="top"/>
            <w:tcBorders>
              <w:top w:val="single" w:sz="4" w:color="D8D2DE"/>
              <w:left w:val="single" w:sz="4" w:color="D8D2DE"/>
              <w:bottom w:val="single" w:sz="4" w:color="D8D2DE"/>
              <w:right w:val="single" w:sz="4" w:color="D8D2DE"/>
            </w:tcBorders>
          </w:tcPr>
          <w:p>
            <w:r>
              <w:rPr>
                <w:rFonts w:ascii="Aptos" w:hAnsi="Aptos"/>
                <w:sz w:val="16"/>
              </w:rPr>
              <w:t>Evidence</w:t>
            </w:r>
          </w:p>
        </w:tc>
        <w:tc>
          <w:tcPr>
            <w:tcW w:type="dxa" w:w="3600"/>
            <w:vAlign w:val="top"/>
            <w:tcBorders>
              <w:top w:val="single" w:sz="4" w:color="D8D2DE"/>
              <w:left w:val="single" w:sz="4" w:color="D8D2DE"/>
              <w:bottom w:val="single" w:sz="4" w:color="D8D2DE"/>
              <w:right w:val="single" w:sz="4" w:color="D8D2DE"/>
            </w:tcBorders>
          </w:tcPr>
          <w:p>
            <w:r>
              <w:rPr>
                <w:rFonts w:ascii="Aptos" w:hAnsi="Aptos"/>
                <w:sz w:val="16"/>
              </w:rPr>
              <w:t>/compliance/soc2/evidence</w:t>
            </w:r>
          </w:p>
        </w:tc>
        <w:tc>
          <w:tcPr>
            <w:tcW w:type="dxa" w:w="4320"/>
            <w:vAlign w:val="top"/>
            <w:tcBorders>
              <w:top w:val="single" w:sz="4" w:color="D8D2DE"/>
              <w:left w:val="single" w:sz="4" w:color="D8D2DE"/>
              <w:bottom w:val="single" w:sz="4" w:color="D8D2DE"/>
              <w:right w:val="single" w:sz="4" w:color="D8D2DE"/>
            </w:tcBorders>
          </w:tcPr>
          <w:p>
            <w:r>
              <w:rPr>
                <w:rFonts w:ascii="Aptos" w:hAnsi="Aptos"/>
                <w:sz w:val="16"/>
              </w:rPr>
              <w:t>Evidence creation/linking and temporal classification.</w:t>
            </w:r>
          </w:p>
        </w:tc>
      </w:tr>
      <w:tr>
        <w:tc>
          <w:tcPr>
            <w:tcW w:type="dxa" w:w="3096"/>
            <w:vAlign w:val="top"/>
            <w:tcBorders>
              <w:top w:val="single" w:sz="4" w:color="D8D2DE"/>
              <w:left w:val="single" w:sz="4" w:color="D8D2DE"/>
              <w:bottom w:val="single" w:sz="4" w:color="D8D2DE"/>
              <w:right w:val="single" w:sz="4" w:color="D8D2DE"/>
            </w:tcBorders>
          </w:tcPr>
          <w:p>
            <w:r>
              <w:rPr>
                <w:rFonts w:ascii="Aptos" w:hAnsi="Aptos"/>
                <w:sz w:val="16"/>
              </w:rPr>
              <w:t>Operational Readiness</w:t>
            </w:r>
          </w:p>
        </w:tc>
        <w:tc>
          <w:tcPr>
            <w:tcW w:type="dxa" w:w="3600"/>
            <w:vAlign w:val="top"/>
            <w:tcBorders>
              <w:top w:val="single" w:sz="4" w:color="D8D2DE"/>
              <w:left w:val="single" w:sz="4" w:color="D8D2DE"/>
              <w:bottom w:val="single" w:sz="4" w:color="D8D2DE"/>
              <w:right w:val="single" w:sz="4" w:color="D8D2DE"/>
            </w:tcBorders>
          </w:tcPr>
          <w:p>
            <w:r>
              <w:rPr>
                <w:rFonts w:ascii="Aptos" w:hAnsi="Aptos"/>
                <w:sz w:val="16"/>
              </w:rPr>
              <w:t>/compliance/soc2/operational_readiness</w:t>
            </w:r>
          </w:p>
        </w:tc>
        <w:tc>
          <w:tcPr>
            <w:tcW w:type="dxa" w:w="4320"/>
            <w:vAlign w:val="top"/>
            <w:tcBorders>
              <w:top w:val="single" w:sz="4" w:color="D8D2DE"/>
              <w:left w:val="single" w:sz="4" w:color="D8D2DE"/>
              <w:bottom w:val="single" w:sz="4" w:color="D8D2DE"/>
              <w:right w:val="single" w:sz="4" w:color="D8D2DE"/>
            </w:tcBorders>
          </w:tcPr>
          <w:p>
            <w:r>
              <w:rPr>
                <w:rFonts w:ascii="Aptos" w:hAnsi="Aptos"/>
                <w:sz w:val="16"/>
              </w:rPr>
              <w:t>Selected-control readiness signals.</w:t>
            </w:r>
          </w:p>
        </w:tc>
      </w:tr>
      <w:tr>
        <w:tc>
          <w:tcPr>
            <w:tcW w:type="dxa" w:w="3096"/>
            <w:vAlign w:val="top"/>
            <w:tcBorders>
              <w:top w:val="single" w:sz="4" w:color="D8D2DE"/>
              <w:left w:val="single" w:sz="4" w:color="D8D2DE"/>
              <w:bottom w:val="single" w:sz="4" w:color="D8D2DE"/>
              <w:right w:val="single" w:sz="4" w:color="D8D2DE"/>
            </w:tcBorders>
          </w:tcPr>
          <w:p>
            <w:r>
              <w:rPr>
                <w:rFonts w:ascii="Aptos" w:hAnsi="Aptos"/>
                <w:sz w:val="16"/>
              </w:rPr>
              <w:t>Issues, Exceptions &amp; Decisions</w:t>
            </w:r>
          </w:p>
        </w:tc>
        <w:tc>
          <w:tcPr>
            <w:tcW w:type="dxa" w:w="3600"/>
            <w:vAlign w:val="top"/>
            <w:tcBorders>
              <w:top w:val="single" w:sz="4" w:color="D8D2DE"/>
              <w:left w:val="single" w:sz="4" w:color="D8D2DE"/>
              <w:bottom w:val="single" w:sz="4" w:color="D8D2DE"/>
              <w:right w:val="single" w:sz="4" w:color="D8D2DE"/>
            </w:tcBorders>
          </w:tcPr>
          <w:p>
            <w:r>
              <w:rPr>
                <w:rFonts w:ascii="Aptos" w:hAnsi="Aptos"/>
                <w:sz w:val="16"/>
              </w:rPr>
              <w:t>/compliance/soc2/issues_exceptions</w:t>
            </w:r>
          </w:p>
        </w:tc>
        <w:tc>
          <w:tcPr>
            <w:tcW w:type="dxa" w:w="4320"/>
            <w:vAlign w:val="top"/>
            <w:tcBorders>
              <w:top w:val="single" w:sz="4" w:color="D8D2DE"/>
              <w:left w:val="single" w:sz="4" w:color="D8D2DE"/>
              <w:bottom w:val="single" w:sz="4" w:color="D8D2DE"/>
              <w:right w:val="single" w:sz="4" w:color="D8D2DE"/>
            </w:tcBorders>
          </w:tcPr>
          <w:p>
            <w:r>
              <w:rPr>
                <w:rFonts w:ascii="Aptos" w:hAnsi="Aptos"/>
                <w:sz w:val="16"/>
              </w:rPr>
              <w:t>Remediation, exceptions and control readiness decisions.</w:t>
            </w:r>
          </w:p>
        </w:tc>
      </w:tr>
      <w:tr>
        <w:tc>
          <w:tcPr>
            <w:tcW w:type="dxa" w:w="3096"/>
            <w:vAlign w:val="top"/>
            <w:tcBorders>
              <w:top w:val="single" w:sz="4" w:color="D8D2DE"/>
              <w:left w:val="single" w:sz="4" w:color="D8D2DE"/>
              <w:bottom w:val="single" w:sz="4" w:color="D8D2DE"/>
              <w:right w:val="single" w:sz="4" w:color="D8D2DE"/>
            </w:tcBorders>
          </w:tcPr>
          <w:p>
            <w:r>
              <w:rPr>
                <w:rFonts w:ascii="Aptos" w:hAnsi="Aptos"/>
                <w:sz w:val="16"/>
              </w:rPr>
              <w:t>Audit Readiness</w:t>
            </w:r>
          </w:p>
        </w:tc>
        <w:tc>
          <w:tcPr>
            <w:tcW w:type="dxa" w:w="3600"/>
            <w:vAlign w:val="top"/>
            <w:tcBorders>
              <w:top w:val="single" w:sz="4" w:color="D8D2DE"/>
              <w:left w:val="single" w:sz="4" w:color="D8D2DE"/>
              <w:bottom w:val="single" w:sz="4" w:color="D8D2DE"/>
              <w:right w:val="single" w:sz="4" w:color="D8D2DE"/>
            </w:tcBorders>
          </w:tcPr>
          <w:p>
            <w:r>
              <w:rPr>
                <w:rFonts w:ascii="Aptos" w:hAnsi="Aptos"/>
                <w:sz w:val="16"/>
              </w:rPr>
              <w:t>/compliance/soc2/audit_readiness</w:t>
            </w:r>
          </w:p>
        </w:tc>
        <w:tc>
          <w:tcPr>
            <w:tcW w:type="dxa" w:w="4320"/>
            <w:vAlign w:val="top"/>
            <w:tcBorders>
              <w:top w:val="single" w:sz="4" w:color="D8D2DE"/>
              <w:left w:val="single" w:sz="4" w:color="D8D2DE"/>
              <w:bottom w:val="single" w:sz="4" w:color="D8D2DE"/>
              <w:right w:val="single" w:sz="4" w:color="D8D2DE"/>
            </w:tcBorders>
          </w:tcPr>
          <w:p>
            <w:r>
              <w:rPr>
                <w:rFonts w:ascii="Aptos" w:hAnsi="Aptos"/>
                <w:sz w:val="16"/>
              </w:rPr>
              <w:t>Criterion and engagement readiness conclusions.</w:t>
            </w:r>
          </w:p>
        </w:tc>
      </w:tr>
    </w:tbl>
    <w:p>
      <w:pPr>
        <w:spacing w:after="20"/>
      </w:pPr>
    </w:p>
    <w:p>
      <w:r>
        <w:br w:type="page"/>
      </w:r>
    </w:p>
    <w:p>
      <w:pPr>
        <w:pStyle w:val="Heading1"/>
      </w:pPr>
      <w:r>
        <w:rPr>
          <w:rFonts w:ascii="Aptos" w:hAnsi="Aptos"/>
          <w:b/>
          <w:color w:val="4B0983"/>
          <w:sz w:val="38"/>
        </w:rPr>
        <w:t>30. References</w:t>
      </w:r>
    </w:p>
    <w:p>
      <w:pPr>
        <w:keepNext/>
        <w:spacing w:after="100"/>
      </w:pPr>
      <w:r>
        <w:rPr>
          <w:rFonts w:ascii="Aptos" w:hAnsi="Aptos"/>
        </w:rPr>
        <w:t>PurpleWASP implementation basis</w:t>
      </w:r>
    </w:p>
    <w:p>
      <w:pPr>
        <w:pStyle w:val="ListBullet"/>
        <w:spacing w:after="40"/>
      </w:pPr>
      <w:r>
        <w:rPr>
          <w:rFonts w:ascii="Aptos" w:hAnsi="Aptos"/>
        </w:rPr>
        <w:t>Current SOC 2 Core v1 application pages and shared workspace UI supplied for this documentation.</w:t>
      </w:r>
    </w:p>
    <w:p>
      <w:pPr>
        <w:pStyle w:val="ListBullet"/>
        <w:spacing w:after="40"/>
      </w:pPr>
      <w:r>
        <w:rPr>
          <w:rFonts w:ascii="Aptos" w:hAnsi="Aptos"/>
        </w:rPr>
        <w:t>PurpleWASP SOC 2 Core v1 Consolidation &amp; UI Hardening notes and regression checklist included in the current build.</w:t>
      </w:r>
    </w:p>
    <w:p>
      <w:pPr>
        <w:keepNext/>
        <w:spacing w:after="100"/>
      </w:pPr>
      <w:r>
        <w:rPr>
          <w:rFonts w:ascii="Aptos" w:hAnsi="Aptos"/>
        </w:rPr>
        <w:t>Authoritative external references</w:t>
      </w:r>
    </w:p>
    <w:p>
      <w:pPr>
        <w:pStyle w:val="ListBullet"/>
        <w:spacing w:after="60"/>
      </w:pPr>
      <w:hyperlink r:id="rId23">
        <w:r>
          <w:rPr>
            <w:color w:val="4B0983"/>
            <w:u w:val="single"/>
            <w:rFonts w:ascii="Aptos" w:hAnsi="Aptos"/>
          </w:rPr>
          <w:t>AICPA &amp; CIMA - System and Organization Controls: SOC Suite of Services</w:t>
        </w:r>
      </w:hyperlink>
    </w:p>
    <w:p>
      <w:pPr>
        <w:pStyle w:val="ListBullet"/>
        <w:spacing w:after="60"/>
      </w:pPr>
      <w:hyperlink r:id="rId24">
        <w:r>
          <w:rPr>
            <w:color w:val="4B0983"/>
            <w:u w:val="single"/>
            <w:rFonts w:ascii="Aptos" w:hAnsi="Aptos"/>
          </w:rPr>
          <w:t>AICPA &amp; CIMA - 2017 Trust Services Criteria (With Revised Points of Focus - 2022)</w:t>
        </w:r>
      </w:hyperlink>
    </w:p>
    <w:p>
      <w:pPr>
        <w:pStyle w:val="ListBullet"/>
        <w:spacing w:after="60"/>
      </w:pPr>
      <w:hyperlink r:id="rId25">
        <w:r>
          <w:rPr>
            <w:color w:val="4B0983"/>
            <w:u w:val="single"/>
            <w:rFonts w:ascii="Aptos" w:hAnsi="Aptos"/>
          </w:rPr>
          <w:t>AICPA &amp; CIMA - SOC for Service Organizations Engagements - Overview (2026)</w:t>
        </w:r>
      </w:hyperlink>
    </w:p>
    <w:p>
      <w:pPr>
        <w:pStyle w:val="ListBullet"/>
        <w:spacing w:after="60"/>
      </w:pPr>
      <w:hyperlink r:id="rId26">
        <w:r>
          <w:rPr>
            <w:color w:val="4B0983"/>
            <w:u w:val="single"/>
            <w:rFonts w:ascii="Aptos" w:hAnsi="Aptos"/>
          </w:rPr>
          <w:t>AICPA &amp; CIMA - SOC 2 Reporting on an Examination of Controls at a Service Organization Relevant to Security, Availability, Processing Integrity, Confidentiality, or Privacy</w:t>
        </w:r>
      </w:hyperlink>
    </w:p>
    <w:tbl>
      <w:tblPr>
        <w:tblW w:type="auto" w:w="0"/>
        <w:jc w:val="center"/>
        <w:tblLayout w:type="autofit"/>
        <w:tblLook w:firstColumn="1" w:firstRow="1" w:lastColumn="0" w:lastRow="0" w:noHBand="0" w:noVBand="1" w:val="04A0"/>
      </w:tblPr>
      <w:tblGrid>
        <w:gridCol w:w="9994"/>
      </w:tblGrid>
      <w:tr>
        <w:tc>
          <w:tcPr>
            <w:tcW w:type="dxa" w:w="9994"/>
            <w:shd w:fill="EEF5FF"/>
            <w:tcBorders>
              <w:top w:val="nil"/>
              <w:left w:val="single" w:sz="18" w:color="1F5AA6"/>
              <w:bottom w:val="nil"/>
              <w:right w:val="nil"/>
            </w:tcBorders>
          </w:tcPr>
          <w:p>
            <w:pPr>
              <w:spacing w:after="60"/>
            </w:pPr>
            <w:r>
              <w:rPr>
                <w:rFonts w:ascii="Aptos" w:hAnsi="Aptos"/>
                <w:b/>
                <w:color w:val="1F5AA6"/>
                <w:sz w:val="21"/>
              </w:rPr>
              <w:t>Copyright and criteria text</w:t>
            </w:r>
          </w:p>
          <w:p>
            <w:pPr>
              <w:spacing w:after="0"/>
            </w:pPr>
            <w:r>
              <w:rPr>
                <w:rFonts w:ascii="Aptos" w:hAnsi="Aptos"/>
                <w:sz w:val="19"/>
              </w:rPr>
              <w:t>This guide intentionally explains the workflow and categories without reproducing the full copyrighted Trust Services Criteria or the full SOC 2 Description Criteria. Use the current AICPA publications when exact authoritative criterion wording is required.</w:t>
            </w:r>
          </w:p>
        </w:tc>
      </w:tr>
    </w:tbl>
    <w:p>
      <w:pPr>
        <w:spacing w:after="20"/>
      </w:pPr>
    </w:p>
    <w:p>
      <w:pPr>
        <w:pStyle w:val="Heading2"/>
      </w:pPr>
      <w:r>
        <w:rPr>
          <w:rFonts w:ascii="Aptos" w:hAnsi="Aptos"/>
          <w:b/>
          <w:color w:val="24152E"/>
          <w:sz w:val="28"/>
        </w:rPr>
        <w:t>Current AICPA basis noted for this edition</w:t>
      </w:r>
    </w:p>
    <w:p>
      <w:pPr>
        <w:spacing w:after="100"/>
      </w:pPr>
      <w:r>
        <w:rPr>
          <w:rFonts w:ascii="Aptos" w:hAnsi="Aptos"/>
        </w:rPr>
        <w:t>At the time this guide was prepared (September 2026), AICPA &amp; CIMA continued to list the 2017 Trust Services Criteria with revised points of focus (2022) and the 2018 SOC 2 Description Criteria with revised implementation guidance (2022) in its SOC resource library. Always confirm the current authoritative criteria and professional standards with your service auditor before beginning a new examination period.</w:t>
      </w:r>
    </w:p>
    <w:p>
      <w:pPr>
        <w:spacing w:before="360"/>
        <w:jc w:val="center"/>
      </w:pPr>
      <w:r>
        <w:rPr>
          <w:rFonts w:ascii="Aptos" w:hAnsi="Aptos"/>
          <w:b/>
          <w:color w:val="4B0983"/>
          <w:sz w:val="22"/>
        </w:rPr>
        <w:t>End of guide</w:t>
      </w:r>
    </w:p>
    <w:p>
      <w:pPr>
        <w:jc w:val="center"/>
      </w:pPr>
      <w:r>
        <w:rPr>
          <w:rFonts w:ascii="Aptos" w:hAnsi="Aptos"/>
          <w:i/>
          <w:color w:val="6B6470"/>
          <w:sz w:val="18"/>
        </w:rPr>
        <w:t>Use PurpleWASP to preserve the operational trail; use professional judgement and the service auditor to determine the final SOC 2 examination scope and evidence requirements.</w:t>
      </w:r>
    </w:p>
    <w:sectPr w:rsidR="00FC693F" w:rsidRPr="0006063C" w:rsidSect="00034616">
      <w:headerReference w:type="default" r:id="rId9"/>
      <w:footerReference w:type="default" r:id="rId10"/>
      <w:pgSz w:w="12240" w:h="15840"/>
      <w:pgMar w:top="936" w:right="1123" w:bottom="936" w:left="112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6B6470"/>
        <w:sz w:val="16"/>
      </w:rPr>
      <w:t xml:space="preserve">PurpleWASP SOC 2 Core v1 | </w:t>
    </w:r>
    <w:r>
      <w:rPr>
        <w:rFonts w:ascii="Aptos" w:hAnsi="Aptos"/>
        <w:color w:val="6B6470"/>
        <w:sz w:val="16"/>
      </w:rPr>
      <w:t xml:space="preserve">Page </w:t>
    </w:r>
    <w:r>
      <w:rPr>
        <w:rFonts w:ascii="Aptos" w:hAnsi="Aptos"/>
        <w:color w:val="6B6470"/>
        <w:sz w:val="16"/>
      </w:rP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ptos" w:hAnsi="Aptos"/>
        <w:color w:val="6B6470"/>
        <w:sz w:val="16"/>
      </w:rPr>
      <w:t>PurpleWASP | SOC 2 Implementation &amp; Readiness Guide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Aptos" w:hAnsi="Aptos"/>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outlineLvl w:val="0"/>
    </w:pPr>
    <w:rPr>
      <w:rFonts w:asciiTheme="majorHAnsi" w:eastAsiaTheme="majorEastAsia" w:hAnsiTheme="majorHAnsi" w:cstheme="majorBidi" w:ascii="Aptos Display" w:hAnsi="Aptos Display"/>
      <w:b/>
      <w:bCs/>
      <w:color w:val="4B0983"/>
      <w:sz w:val="38"/>
      <w:szCs w:val="28"/>
    </w:rPr>
  </w:style>
  <w:style w:type="paragraph" w:styleId="Heading2">
    <w:name w:val="heading 2"/>
    <w:basedOn w:val="Normal"/>
    <w:next w:val="Normal"/>
    <w:link w:val="Heading2Char"/>
    <w:uiPriority w:val="9"/>
    <w:unhideWhenUsed/>
    <w:qFormat/>
    <w:rsid w:val="00FC693F"/>
    <w:pPr>
      <w:keepNext/>
      <w:keepLines/>
      <w:spacing w:before="180" w:after="100"/>
      <w:outlineLvl w:val="1"/>
    </w:pPr>
    <w:rPr>
      <w:rFonts w:asciiTheme="majorHAnsi" w:eastAsiaTheme="majorEastAsia" w:hAnsiTheme="majorHAnsi" w:cstheme="majorBidi" w:ascii="Aptos Display" w:hAnsi="Aptos Display"/>
      <w:b/>
      <w:bCs/>
      <w:color w:val="24152E"/>
      <w:sz w:val="28"/>
      <w:szCs w:val="26"/>
    </w:rPr>
  </w:style>
  <w:style w:type="paragraph" w:styleId="Heading3">
    <w:name w:val="heading 3"/>
    <w:basedOn w:val="Normal"/>
    <w:next w:val="Normal"/>
    <w:link w:val="Heading3Char"/>
    <w:uiPriority w:val="9"/>
    <w:unhideWhenUsed/>
    <w:qFormat/>
    <w:rsid w:val="00FC693F"/>
    <w:pPr>
      <w:keepNext/>
      <w:keepLines/>
      <w:spacing w:before="120" w:after="60"/>
      <w:outlineLvl w:val="2"/>
    </w:pPr>
    <w:rPr>
      <w:rFonts w:asciiTheme="majorHAnsi" w:eastAsiaTheme="majorEastAsia" w:hAnsiTheme="majorHAnsi" w:cstheme="majorBidi" w:ascii="Aptos Display" w:hAnsi="Aptos Display"/>
      <w:b/>
      <w:bCs/>
      <w:color w:val="4B0983"/>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color w:val="4B0983"/>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ptos" w:hAnsi="Aptos"/>
      <w:i/>
      <w:iCs/>
      <w:color w:val="6B6470"/>
      <w:spacing w:val="15"/>
      <w:sz w:val="28"/>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Aptos" w:hAnsi="Aptos"/>
      <w:sz w:val="19"/>
    </w:rPr>
  </w:style>
  <w:style w:type="paragraph" w:styleId="ListBullet2">
    <w:name w:val="List Bullet 2"/>
    <w:basedOn w:val="Normal"/>
    <w:uiPriority w:val="99"/>
    <w:unhideWhenUsed/>
    <w:rsid w:val="00326F90"/>
    <w:pPr>
      <w:numPr>
        <w:numId w:val="2"/>
      </w:numPr>
      <w:contextualSpacing/>
    </w:pPr>
    <w:rPr>
      <w:rFonts w:ascii="Aptos" w:hAnsi="Aptos"/>
      <w:sz w:val="19"/>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 Id="rId19" Type="http://schemas.openxmlformats.org/officeDocument/2006/relationships/image" Target="media/image9.png"/><Relationship Id="rId20" Type="http://schemas.openxmlformats.org/officeDocument/2006/relationships/image" Target="media/image10.png"/><Relationship Id="rId21" Type="http://schemas.openxmlformats.org/officeDocument/2006/relationships/image" Target="media/image11.png"/><Relationship Id="rId22" Type="http://schemas.openxmlformats.org/officeDocument/2006/relationships/image" Target="media/image12.png"/><Relationship Id="rId23" Type="http://schemas.openxmlformats.org/officeDocument/2006/relationships/hyperlink" Target="https://www.aicpa-cima.com/topic/audit-assurance/audit-and-assurance-greater-than-soc-2" TargetMode="External"/><Relationship Id="rId24" Type="http://schemas.openxmlformats.org/officeDocument/2006/relationships/hyperlink" Target="https://www.aicpa-cima.com/resources/download/2017-trust-services-criteria-with-revised-points-of-focus-2022" TargetMode="External"/><Relationship Id="rId25" Type="http://schemas.openxmlformats.org/officeDocument/2006/relationships/hyperlink" Target="https://www.aicpa-cima.com/resources/download/soc-for-service-organizations-engagements-overview" TargetMode="External"/><Relationship Id="rId26" Type="http://schemas.openxmlformats.org/officeDocument/2006/relationships/hyperlink" Target="https://www.aicpa-cima.com/cpe-learning/publication/soc-2-reporting-on-an-examination-of-controls-at-a-service-organization-relevant-to-security-availability-processing-integrity-confidentiality-or-privacy-O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PurpleWASP SOC 2 Implementation &amp; Readiness Guide</dc:title>
  <dc:subject>End-to-end SOC 2 user guide for PurpleWASP</dc:subject>
  <dc:creator>PurpleWASP</dc:creator>
  <cp:keywords>SOC 2, PurpleWASP, Trust Services Criteria, compliance, readiness, evidence, testing</cp:keywords>
  <dc:description>generated by python-docx</dc:description>
  <cp:lastModifiedBy/>
  <cp:revision>1</cp:revision>
  <dcterms:created xsi:type="dcterms:W3CDTF">2013-12-23T23:15:00Z</dcterms:created>
  <dcterms:modified xsi:type="dcterms:W3CDTF">2013-12-23T23:15:00Z</dcterms:modified>
  <cp:category/>
</cp:coreProperties>
</file>